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3E" w:rsidRPr="00EE7E3E" w:rsidRDefault="00EE7E3E" w:rsidP="00EE7E3E">
      <w:pPr>
        <w:rPr>
          <w:b/>
        </w:rPr>
      </w:pPr>
      <w:bookmarkStart w:id="0" w:name="_GoBack"/>
      <w:bookmarkEnd w:id="0"/>
      <w:r w:rsidRPr="00EE7E3E">
        <w:rPr>
          <w:b/>
        </w:rPr>
        <w:t>Research Study #2, Research Brief #</w:t>
      </w:r>
      <w:r>
        <w:rPr>
          <w:b/>
        </w:rPr>
        <w:t>2</w:t>
      </w:r>
    </w:p>
    <w:p w:rsidR="00EE7E3E" w:rsidRPr="00EE7E3E" w:rsidRDefault="00EE7E3E" w:rsidP="00EE7E3E">
      <w:pPr>
        <w:rPr>
          <w:b/>
          <w:i/>
        </w:rPr>
      </w:pPr>
      <w:r w:rsidRPr="00EE7E3E">
        <w:rPr>
          <w:b/>
          <w:i/>
        </w:rPr>
        <w:t>Successful Employment and Quality Work Life after Severe Disability:</w:t>
      </w:r>
    </w:p>
    <w:p w:rsidR="00EE7E3E" w:rsidRPr="00EE7E3E" w:rsidRDefault="00EE7E3E" w:rsidP="00EE7E3E">
      <w:pPr>
        <w:rPr>
          <w:b/>
          <w:i/>
        </w:rPr>
      </w:pPr>
      <w:r w:rsidRPr="00EE7E3E">
        <w:rPr>
          <w:b/>
          <w:i/>
        </w:rPr>
        <w:t>Comparison of Predictive Models with Multiple Sclerosis and Spinal Cord Injury</w:t>
      </w:r>
    </w:p>
    <w:p w:rsidR="00F7169F" w:rsidRDefault="00F7169F">
      <w:pPr>
        <w:rPr>
          <w:b/>
        </w:rPr>
      </w:pPr>
    </w:p>
    <w:p w:rsidR="008E2F54" w:rsidRPr="008E2F54" w:rsidRDefault="00C55CFA">
      <w:pPr>
        <w:rPr>
          <w:b/>
        </w:rPr>
      </w:pPr>
      <w:r>
        <w:rPr>
          <w:b/>
        </w:rPr>
        <w:t>I</w:t>
      </w:r>
      <w:r w:rsidR="008E2F54" w:rsidRPr="008E2F54">
        <w:rPr>
          <w:b/>
        </w:rPr>
        <w:t>ntroduction</w:t>
      </w:r>
    </w:p>
    <w:p w:rsidR="00C149FE" w:rsidRDefault="008E2F54">
      <w:r>
        <w:t xml:space="preserve">Multiple sclerosis (MS) affects </w:t>
      </w:r>
      <w:r w:rsidR="00C55CFA">
        <w:t xml:space="preserve">approximately </w:t>
      </w:r>
      <w:r w:rsidR="007E05A4">
        <w:t>2.3 million people worldwide</w:t>
      </w:r>
      <w:r>
        <w:t>, with most individuals being diagnose</w:t>
      </w:r>
      <w:r w:rsidR="005446DC">
        <w:t xml:space="preserve">d between the ages of 20 and 40 during </w:t>
      </w:r>
      <w:r w:rsidR="00C55CFA">
        <w:t xml:space="preserve">what are usually </w:t>
      </w:r>
      <w:r w:rsidR="005446DC">
        <w:t>the most active employment years.</w:t>
      </w:r>
      <w:r w:rsidRPr="008E2F54">
        <w:rPr>
          <w:rStyle w:val="EndnoteReference"/>
        </w:rPr>
        <w:t xml:space="preserve"> </w:t>
      </w:r>
      <w:r>
        <w:rPr>
          <w:rStyle w:val="EndnoteReference"/>
        </w:rPr>
        <w:endnoteReference w:id="1"/>
      </w:r>
      <w:r>
        <w:t xml:space="preserve"> </w:t>
      </w:r>
      <w:r w:rsidR="00C149FE">
        <w:t>Employment is of great importance to adult life and produces tangible (income, fringe benefits) and intangible (intrinsic benefits, purpose in life) benefits</w:t>
      </w:r>
      <w:r w:rsidR="00B76903">
        <w:t>.</w:t>
      </w:r>
      <w:r w:rsidR="00C149FE">
        <w:t xml:space="preserve"> </w:t>
      </w:r>
      <w:r w:rsidR="00B76903">
        <w:t xml:space="preserve">However, </w:t>
      </w:r>
      <w:r w:rsidR="00E142D1">
        <w:t xml:space="preserve">MS can present </w:t>
      </w:r>
      <w:r w:rsidR="00C55CFA">
        <w:t xml:space="preserve">significant </w:t>
      </w:r>
      <w:r w:rsidR="00E142D1">
        <w:t xml:space="preserve">barriers to maintaining employment. </w:t>
      </w:r>
      <w:r w:rsidR="00C149FE">
        <w:t>Research has found that</w:t>
      </w:r>
      <w:r w:rsidR="00635E7C">
        <w:t>,</w:t>
      </w:r>
      <w:r w:rsidR="00C149FE">
        <w:t xml:space="preserve"> a</w:t>
      </w:r>
      <w:r>
        <w:t>s</w:t>
      </w:r>
      <w:r w:rsidR="00E142D1">
        <w:t xml:space="preserve"> the</w:t>
      </w:r>
      <w:r w:rsidR="005446DC">
        <w:t xml:space="preserve"> illness progresses, there i</w:t>
      </w:r>
      <w:r w:rsidR="00B76903">
        <w:t>s a sharp decline in employment O</w:t>
      </w:r>
      <w:r w:rsidR="00C77D90">
        <w:t xml:space="preserve">ne study </w:t>
      </w:r>
      <w:r w:rsidR="00B76903">
        <w:t>found</w:t>
      </w:r>
      <w:r w:rsidR="00C77D90">
        <w:t xml:space="preserve"> that only </w:t>
      </w:r>
      <w:r w:rsidR="005446DC">
        <w:t xml:space="preserve">20-30% </w:t>
      </w:r>
      <w:r w:rsidR="00C55CFA">
        <w:t xml:space="preserve">of people with MS </w:t>
      </w:r>
      <w:r w:rsidR="00C77D90">
        <w:t xml:space="preserve">were </w:t>
      </w:r>
      <w:r w:rsidR="005446DC">
        <w:t>employed 15 years after diagnosis</w:t>
      </w:r>
      <w:r w:rsidR="00C77D90">
        <w:t>,</w:t>
      </w:r>
      <w:r w:rsidR="00EC3356">
        <w:rPr>
          <w:rStyle w:val="EndnoteReference"/>
        </w:rPr>
        <w:endnoteReference w:id="2"/>
      </w:r>
      <w:r w:rsidR="005446DC">
        <w:t xml:space="preserve"> and less than 50% in the US </w:t>
      </w:r>
      <w:r w:rsidR="00C77D90">
        <w:t xml:space="preserve">are </w:t>
      </w:r>
      <w:r w:rsidR="005446DC">
        <w:t>currently employed.</w:t>
      </w:r>
      <w:r w:rsidR="00EC3356">
        <w:rPr>
          <w:rStyle w:val="EndnoteReference"/>
        </w:rPr>
        <w:endnoteReference w:id="3"/>
      </w:r>
      <w:r w:rsidR="005446DC">
        <w:t xml:space="preserve"> </w:t>
      </w:r>
    </w:p>
    <w:p w:rsidR="00C149FE" w:rsidRDefault="00C149FE" w:rsidP="00C149FE">
      <w:r>
        <w:t xml:space="preserve">The majority of research on employment </w:t>
      </w:r>
      <w:r w:rsidR="00F7169F">
        <w:t>of</w:t>
      </w:r>
      <w:r>
        <w:t xml:space="preserve"> </w:t>
      </w:r>
      <w:r w:rsidR="00F7169F">
        <w:t>people with disabilities</w:t>
      </w:r>
      <w:r>
        <w:t xml:space="preserve"> </w:t>
      </w:r>
      <w:r w:rsidR="00F7169F">
        <w:t xml:space="preserve">focuses </w:t>
      </w:r>
      <w:r>
        <w:t xml:space="preserve">on employment rate, health and employment, or employer perceptions. </w:t>
      </w:r>
      <w:r w:rsidR="00E142D1">
        <w:t xml:space="preserve">Although obtaining and maintaining work is an important employment outcome, other quality indicators of employment must be considered. </w:t>
      </w:r>
      <w:r>
        <w:t xml:space="preserve">Current literature is devoid of studies examining subjective aspects of the employment experiences and quality employment outcomes throughout the work life cycle of people with MS. </w:t>
      </w:r>
      <w:r w:rsidR="00F7169F">
        <w:t>This RRTC study</w:t>
      </w:r>
      <w:r>
        <w:t xml:space="preserve"> sought to identify important predictors and outcomes of employment of greatest importance </w:t>
      </w:r>
      <w:r w:rsidRPr="009F48F8">
        <w:rPr>
          <w:i/>
        </w:rPr>
        <w:t xml:space="preserve">as defined by </w:t>
      </w:r>
      <w:r w:rsidR="00F7169F">
        <w:rPr>
          <w:i/>
        </w:rPr>
        <w:t>individuals</w:t>
      </w:r>
      <w:r w:rsidRPr="009F48F8">
        <w:rPr>
          <w:i/>
        </w:rPr>
        <w:t xml:space="preserve"> with MS</w:t>
      </w:r>
      <w:r w:rsidR="003F37D5">
        <w:t>. Our objectives included the following.</w:t>
      </w:r>
    </w:p>
    <w:p w:rsidR="00C149FE" w:rsidRPr="00737186" w:rsidRDefault="00C149FE" w:rsidP="00C149FE">
      <w:pPr>
        <w:pStyle w:val="ListParagraph"/>
        <w:numPr>
          <w:ilvl w:val="0"/>
          <w:numId w:val="3"/>
        </w:numPr>
        <w:rPr>
          <w:rFonts w:asciiTheme="minorHAnsi" w:hAnsiTheme="minorHAnsi"/>
          <w:sz w:val="22"/>
        </w:rPr>
      </w:pPr>
      <w:r w:rsidRPr="00737186">
        <w:rPr>
          <w:rFonts w:asciiTheme="minorHAnsi" w:hAnsiTheme="minorHAnsi"/>
          <w:sz w:val="22"/>
        </w:rPr>
        <w:t>Identify at least two sets of factors/predictors related to quality employment</w:t>
      </w:r>
      <w:r w:rsidR="00F7169F">
        <w:rPr>
          <w:rFonts w:asciiTheme="minorHAnsi" w:hAnsiTheme="minorHAnsi"/>
          <w:sz w:val="22"/>
        </w:rPr>
        <w:t>.</w:t>
      </w:r>
    </w:p>
    <w:p w:rsidR="00C149FE" w:rsidRPr="00737186" w:rsidRDefault="00C149FE" w:rsidP="00C149FE">
      <w:pPr>
        <w:pStyle w:val="ListParagraph"/>
        <w:numPr>
          <w:ilvl w:val="0"/>
          <w:numId w:val="3"/>
        </w:numPr>
        <w:rPr>
          <w:rFonts w:asciiTheme="minorHAnsi" w:hAnsiTheme="minorHAnsi"/>
          <w:sz w:val="22"/>
        </w:rPr>
      </w:pPr>
      <w:r w:rsidRPr="00737186">
        <w:rPr>
          <w:rFonts w:asciiTheme="minorHAnsi" w:hAnsiTheme="minorHAnsi"/>
          <w:sz w:val="22"/>
        </w:rPr>
        <w:t>Identify three common themes of quality employment throughout the work life cycle after diagnosis of MS</w:t>
      </w:r>
      <w:r w:rsidR="00F7169F">
        <w:rPr>
          <w:rFonts w:asciiTheme="minorHAnsi" w:hAnsiTheme="minorHAnsi"/>
          <w:sz w:val="22"/>
        </w:rPr>
        <w:t>.</w:t>
      </w:r>
    </w:p>
    <w:p w:rsidR="00C149FE" w:rsidRPr="00737186" w:rsidRDefault="00C149FE" w:rsidP="00C149FE">
      <w:pPr>
        <w:pStyle w:val="ListParagraph"/>
        <w:numPr>
          <w:ilvl w:val="0"/>
          <w:numId w:val="3"/>
        </w:numPr>
        <w:rPr>
          <w:rFonts w:asciiTheme="minorHAnsi" w:hAnsiTheme="minorHAnsi"/>
          <w:sz w:val="22"/>
        </w:rPr>
      </w:pPr>
      <w:r w:rsidRPr="00737186">
        <w:rPr>
          <w:rFonts w:asciiTheme="minorHAnsi" w:hAnsiTheme="minorHAnsi"/>
          <w:sz w:val="22"/>
        </w:rPr>
        <w:t>Describe how qualitative and quantitative studies may work together to clarify employment outcomes</w:t>
      </w:r>
      <w:r w:rsidR="00F7169F">
        <w:rPr>
          <w:rFonts w:asciiTheme="minorHAnsi" w:hAnsiTheme="minorHAnsi"/>
          <w:sz w:val="22"/>
        </w:rPr>
        <w:t>.</w:t>
      </w:r>
    </w:p>
    <w:p w:rsidR="003C30A0" w:rsidRPr="008E2F54" w:rsidRDefault="003C30A0">
      <w:pPr>
        <w:rPr>
          <w:b/>
        </w:rPr>
      </w:pPr>
    </w:p>
    <w:p w:rsidR="00D570C3" w:rsidRPr="008E2F54" w:rsidRDefault="00D570C3">
      <w:pPr>
        <w:rPr>
          <w:b/>
        </w:rPr>
      </w:pPr>
      <w:r w:rsidRPr="008E2F54">
        <w:rPr>
          <w:b/>
        </w:rPr>
        <w:t>What is the source of information?</w:t>
      </w:r>
    </w:p>
    <w:p w:rsidR="00D570C3" w:rsidRDefault="00C149FE">
      <w:r>
        <w:t>To allow for new insights on quality outcomes of employment, a</w:t>
      </w:r>
      <w:r w:rsidR="00C44E9F">
        <w:t xml:space="preserve"> qualitative approach was used</w:t>
      </w:r>
      <w:r>
        <w:t>. W</w:t>
      </w:r>
      <w:r w:rsidR="00C44E9F">
        <w:t>e conducted</w:t>
      </w:r>
      <w:r w:rsidR="00635E7C">
        <w:t xml:space="preserve"> three</w:t>
      </w:r>
      <w:r w:rsidR="00D570C3">
        <w:t xml:space="preserve"> focus groups </w:t>
      </w:r>
      <w:r w:rsidR="006C7DE5">
        <w:t>in three different geographic locations</w:t>
      </w:r>
      <w:r w:rsidR="00D570C3">
        <w:t xml:space="preserve"> (Ohio, Georgia, South Carolina)</w:t>
      </w:r>
      <w:r w:rsidR="00B60F0B">
        <w:t>, in an effort to get a cross sectional representation</w:t>
      </w:r>
      <w:r w:rsidR="003C30A0">
        <w:t xml:space="preserve"> and to assess if regional differences were linked to quality outcomes of employment</w:t>
      </w:r>
      <w:r w:rsidR="00C44E9F">
        <w:t xml:space="preserve">. </w:t>
      </w:r>
      <w:r w:rsidR="00B60F0B">
        <w:t xml:space="preserve">We recruited participants from a variety of different sources, including community support groups and clinics. </w:t>
      </w:r>
      <w:r w:rsidR="00C44E9F">
        <w:t>Participants</w:t>
      </w:r>
      <w:r w:rsidR="003C30A0">
        <w:t xml:space="preserve"> included 74 individuals who</w:t>
      </w:r>
      <w:r w:rsidR="00C44E9F">
        <w:t xml:space="preserve"> had a physical dis</w:t>
      </w:r>
      <w:r w:rsidR="008E2F54">
        <w:t>ability from MS</w:t>
      </w:r>
      <w:r w:rsidR="00C44E9F">
        <w:t>, were over 18 years old, were less than 65 years old at the time of diagnosis, and had been employed at some point after their diagnosis. Groups were heterogeneous. A semi-structured interview format queried participants about</w:t>
      </w:r>
      <w:r w:rsidR="00D570C3">
        <w:t xml:space="preserve"> </w:t>
      </w:r>
      <w:r w:rsidR="00C44E9F">
        <w:t xml:space="preserve">factors </w:t>
      </w:r>
      <w:r w:rsidR="00635E7C">
        <w:t>impacting</w:t>
      </w:r>
      <w:r w:rsidR="00C44E9F">
        <w:t xml:space="preserve"> employment.</w:t>
      </w:r>
    </w:p>
    <w:p w:rsidR="008E2F54" w:rsidRDefault="008E2F54"/>
    <w:p w:rsidR="008E2F54" w:rsidRPr="008E2F54" w:rsidRDefault="008E2F54">
      <w:pPr>
        <w:rPr>
          <w:b/>
        </w:rPr>
      </w:pPr>
      <w:r w:rsidRPr="008E2F54">
        <w:rPr>
          <w:b/>
        </w:rPr>
        <w:lastRenderedPageBreak/>
        <w:t xml:space="preserve">What are the general themes </w:t>
      </w:r>
      <w:r w:rsidR="00291426">
        <w:rPr>
          <w:b/>
        </w:rPr>
        <w:t xml:space="preserve">individuals with </w:t>
      </w:r>
      <w:r w:rsidR="00C55CFA">
        <w:rPr>
          <w:b/>
        </w:rPr>
        <w:t xml:space="preserve">MS </w:t>
      </w:r>
      <w:r w:rsidRPr="008E2F54">
        <w:rPr>
          <w:b/>
        </w:rPr>
        <w:t>found to be important outcomes of employment?</w:t>
      </w:r>
    </w:p>
    <w:p w:rsidR="008E2F54" w:rsidRDefault="008E2F54">
      <w:r>
        <w:t>Participants ide</w:t>
      </w:r>
      <w:r w:rsidR="00635E7C">
        <w:t>ntified three</w:t>
      </w:r>
      <w:r>
        <w:t xml:space="preserve"> important themes </w:t>
      </w:r>
      <w:r w:rsidR="00635E7C">
        <w:t>within</w:t>
      </w:r>
      <w:r>
        <w:t xml:space="preserve"> employment</w:t>
      </w:r>
      <w:r w:rsidR="00635E7C">
        <w:t xml:space="preserve"> outcomes</w:t>
      </w:r>
      <w:r>
        <w:t xml:space="preserve">, which </w:t>
      </w:r>
      <w:r w:rsidR="000D2E81">
        <w:t>included</w:t>
      </w:r>
      <w:r>
        <w:t xml:space="preserve"> </w:t>
      </w:r>
      <w:r w:rsidRPr="009A2414">
        <w:rPr>
          <w:u w:val="single"/>
        </w:rPr>
        <w:t>compensation</w:t>
      </w:r>
      <w:r>
        <w:t xml:space="preserve">, </w:t>
      </w:r>
      <w:r w:rsidRPr="009A2414">
        <w:rPr>
          <w:u w:val="single"/>
        </w:rPr>
        <w:t>helping others</w:t>
      </w:r>
      <w:r>
        <w:t xml:space="preserve">, and </w:t>
      </w:r>
      <w:r w:rsidRPr="009A2414">
        <w:rPr>
          <w:u w:val="single"/>
        </w:rPr>
        <w:t>personal well-being</w:t>
      </w:r>
      <w:r>
        <w:t>.</w:t>
      </w:r>
      <w:r w:rsidR="00846719">
        <w:t xml:space="preserve">  Compensation includes things such as income and benefits, or </w:t>
      </w:r>
      <w:r w:rsidR="00846719" w:rsidRPr="009F48F8">
        <w:rPr>
          <w:i/>
        </w:rPr>
        <w:t>tangible</w:t>
      </w:r>
      <w:r w:rsidR="00846719">
        <w:t xml:space="preserve"> aspects of employment. In contrast, helping others and promoting personal well-being are more </w:t>
      </w:r>
      <w:r w:rsidR="006C7DE5" w:rsidRPr="009F48F8">
        <w:rPr>
          <w:i/>
        </w:rPr>
        <w:t>intangible</w:t>
      </w:r>
      <w:r w:rsidR="00846719">
        <w:t xml:space="preserve"> benefits of employment.</w:t>
      </w:r>
    </w:p>
    <w:p w:rsidR="00D570C3" w:rsidRDefault="00D570C3"/>
    <w:p w:rsidR="00D570C3" w:rsidRPr="008E2F54" w:rsidRDefault="00D570C3">
      <w:pPr>
        <w:rPr>
          <w:b/>
        </w:rPr>
      </w:pPr>
      <w:r w:rsidRPr="008E2F54">
        <w:rPr>
          <w:b/>
        </w:rPr>
        <w:t>What types of compensation do people feel are important?</w:t>
      </w:r>
    </w:p>
    <w:p w:rsidR="000D2E81" w:rsidRDefault="00B800DB">
      <w:r w:rsidRPr="009F48F8">
        <w:rPr>
          <w:i/>
        </w:rPr>
        <w:t>Salary</w:t>
      </w:r>
      <w:r>
        <w:t xml:space="preserve">, </w:t>
      </w:r>
      <w:r w:rsidRPr="009F48F8">
        <w:rPr>
          <w:i/>
        </w:rPr>
        <w:t>pay for health needs</w:t>
      </w:r>
      <w:r>
        <w:t xml:space="preserve">, and compensation to </w:t>
      </w:r>
      <w:r w:rsidRPr="009F48F8">
        <w:rPr>
          <w:i/>
        </w:rPr>
        <w:t>support responsibilities and lifestyle</w:t>
      </w:r>
      <w:r>
        <w:t xml:space="preserve"> were all deemed important. </w:t>
      </w:r>
      <w:r w:rsidR="005F7089">
        <w:t xml:space="preserve">Many participants </w:t>
      </w:r>
      <w:r w:rsidR="00D52182">
        <w:t>expressed</w:t>
      </w:r>
      <w:r w:rsidR="005F7089">
        <w:t xml:space="preserve"> money to pay bills and to pay for health care needs, including medications, is a primary benefit of working. </w:t>
      </w:r>
      <w:r w:rsidR="000D2E81">
        <w:t>As stated by one participant, “</w:t>
      </w:r>
      <w:r w:rsidR="000D2E81" w:rsidRPr="00635E7C">
        <w:t>Yes, I love my job, and I like the social aspect, and I like making people happy, but it’s all about a paycheck</w:t>
      </w:r>
      <w:r w:rsidR="00635E7C">
        <w:t>.”</w:t>
      </w:r>
      <w:r w:rsidR="000D2E81">
        <w:t xml:space="preserve"> For others, the benefit of working was more related to the lifestyle compensation from work could provide. The fo</w:t>
      </w:r>
      <w:r w:rsidR="00635E7C">
        <w:t>llowing quote</w:t>
      </w:r>
      <w:r w:rsidR="000D2E81">
        <w:t xml:space="preserve"> reflects an example of how salary from employment allowed </w:t>
      </w:r>
      <w:r w:rsidR="00635E7C">
        <w:t>one participant</w:t>
      </w:r>
      <w:r w:rsidR="000D2E81">
        <w:t xml:space="preserve"> to support </w:t>
      </w:r>
      <w:r w:rsidR="00635E7C">
        <w:t>his</w:t>
      </w:r>
      <w:r w:rsidR="000D2E81">
        <w:t xml:space="preserve"> lifestyle: “</w:t>
      </w:r>
      <w:r w:rsidR="000D2E81" w:rsidRPr="00635E7C">
        <w:t>Work is a paycheck that allows me to go on vacation in certain areas</w:t>
      </w:r>
      <w:r w:rsidR="000D2E81">
        <w:t>.</w:t>
      </w:r>
      <w:r w:rsidR="00635E7C">
        <w:t>”</w:t>
      </w:r>
      <w:r w:rsidR="000D2E81">
        <w:t xml:space="preserve"> </w:t>
      </w:r>
    </w:p>
    <w:p w:rsidR="008E2F54" w:rsidRPr="00B800DB" w:rsidRDefault="008E2F54">
      <w:pPr>
        <w:rPr>
          <w:b/>
        </w:rPr>
      </w:pPr>
    </w:p>
    <w:p w:rsidR="008E2F54" w:rsidRPr="00B800DB" w:rsidRDefault="008E2F54">
      <w:pPr>
        <w:rPr>
          <w:b/>
        </w:rPr>
      </w:pPr>
      <w:r w:rsidRPr="00B800DB">
        <w:rPr>
          <w:b/>
        </w:rPr>
        <w:t>How does helping others impact employment?</w:t>
      </w:r>
    </w:p>
    <w:p w:rsidR="008E2F54" w:rsidRDefault="003A32EF">
      <w:r>
        <w:t xml:space="preserve">Participants identified helping others through their jobs, such as </w:t>
      </w:r>
      <w:r w:rsidRPr="009F48F8">
        <w:rPr>
          <w:i/>
        </w:rPr>
        <w:t>inspiring others, providing direct help or assistance</w:t>
      </w:r>
      <w:r>
        <w:t xml:space="preserve">, and </w:t>
      </w:r>
      <w:r w:rsidRPr="009F48F8">
        <w:rPr>
          <w:i/>
        </w:rPr>
        <w:t>general helping</w:t>
      </w:r>
      <w:r>
        <w:t>, provided a sense of value and importance to them</w:t>
      </w:r>
      <w:r w:rsidR="00B800DB">
        <w:t xml:space="preserve">. </w:t>
      </w:r>
      <w:r w:rsidR="005F7089">
        <w:t>One of our participants stressed how inspiring others brought fulfillment at work:</w:t>
      </w:r>
      <w:r w:rsidR="000D2E81">
        <w:t xml:space="preserve"> “What inspires me is to have people come to me and say I’m their inspiration because I’m doing so well with my MS. And they look up to me, and they think if I can do it, anybody can do it</w:t>
      </w:r>
      <w:r w:rsidR="00635E7C">
        <w:t>.”</w:t>
      </w:r>
      <w:r w:rsidR="005F7089">
        <w:t xml:space="preserve"> For others, the direct help they provide in their job, such as working with veterans or helping </w:t>
      </w:r>
      <w:r w:rsidR="00504B87">
        <w:t>with a certain project</w:t>
      </w:r>
      <w:r w:rsidR="005F7089">
        <w:t>, makes them feel valued for their work.</w:t>
      </w:r>
    </w:p>
    <w:p w:rsidR="009C61BA" w:rsidRDefault="009C61BA"/>
    <w:p w:rsidR="008E2F54" w:rsidRPr="000D2E81" w:rsidRDefault="008E2F54">
      <w:pPr>
        <w:rPr>
          <w:b/>
        </w:rPr>
      </w:pPr>
      <w:r w:rsidRPr="000D2E81">
        <w:rPr>
          <w:b/>
        </w:rPr>
        <w:t xml:space="preserve">How is personal well-being </w:t>
      </w:r>
      <w:r w:rsidR="000D2E81" w:rsidRPr="000D2E81">
        <w:rPr>
          <w:b/>
        </w:rPr>
        <w:t>related to employment?</w:t>
      </w:r>
    </w:p>
    <w:p w:rsidR="009C61BA" w:rsidRDefault="000D2E81">
      <w:r>
        <w:t xml:space="preserve">For some participants, the main benefit to employment was increasing their personal well-being, which </w:t>
      </w:r>
      <w:r w:rsidR="00504B87">
        <w:t xml:space="preserve">provides individuals </w:t>
      </w:r>
      <w:r w:rsidR="00B800DB">
        <w:t xml:space="preserve">with a </w:t>
      </w:r>
      <w:r w:rsidR="00B800DB" w:rsidRPr="009F48F8">
        <w:rPr>
          <w:i/>
        </w:rPr>
        <w:t>sense of purpose</w:t>
      </w:r>
      <w:r w:rsidR="00B800DB">
        <w:t xml:space="preserve"> and </w:t>
      </w:r>
      <w:r w:rsidR="00B800DB" w:rsidRPr="009F48F8">
        <w:rPr>
          <w:i/>
        </w:rPr>
        <w:t>accomplishment, social connections</w:t>
      </w:r>
      <w:r w:rsidR="00B800DB">
        <w:t xml:space="preserve"> </w:t>
      </w:r>
      <w:r w:rsidR="00B800DB" w:rsidRPr="009F48F8">
        <w:rPr>
          <w:i/>
        </w:rPr>
        <w:t>and support</w:t>
      </w:r>
      <w:r w:rsidR="00B800DB">
        <w:t xml:space="preserve">, maintaining </w:t>
      </w:r>
      <w:r w:rsidR="00B800DB" w:rsidRPr="009F48F8">
        <w:rPr>
          <w:i/>
        </w:rPr>
        <w:t>health and wellness</w:t>
      </w:r>
      <w:r w:rsidR="00B800DB">
        <w:t xml:space="preserve">, </w:t>
      </w:r>
      <w:r w:rsidR="00B800DB" w:rsidRPr="009F48F8">
        <w:rPr>
          <w:i/>
        </w:rPr>
        <w:t>enjoyment</w:t>
      </w:r>
      <w:r w:rsidR="00B800DB">
        <w:t xml:space="preserve">, and </w:t>
      </w:r>
      <w:r w:rsidR="00B800DB" w:rsidRPr="009F48F8">
        <w:rPr>
          <w:i/>
        </w:rPr>
        <w:t>identity</w:t>
      </w:r>
      <w:r w:rsidR="00B800DB">
        <w:t>.</w:t>
      </w:r>
      <w:r>
        <w:t xml:space="preserve"> </w:t>
      </w:r>
      <w:r w:rsidR="003A32EF">
        <w:t xml:space="preserve"> </w:t>
      </w:r>
      <w:r w:rsidR="00504B87">
        <w:t xml:space="preserve">Many participants referenced how employment brings them happiness and fulfillment. </w:t>
      </w:r>
      <w:r w:rsidR="003A32EF">
        <w:t>As one participant stated, “Of course [employment] was necessary to pay my bills and take care of myself and my family, but also it was a place that I took pride in going to</w:t>
      </w:r>
      <w:r w:rsidR="00635E7C">
        <w:t>.”</w:t>
      </w:r>
      <w:r w:rsidR="003A32EF">
        <w:t xml:space="preserve">  For others, </w:t>
      </w:r>
      <w:r w:rsidR="00635E7C">
        <w:t>employment was</w:t>
      </w:r>
      <w:r w:rsidR="00244F8D">
        <w:t xml:space="preserve"> a tool to stay active</w:t>
      </w:r>
      <w:r w:rsidR="009C61BA">
        <w:t xml:space="preserve"> and maintain well-being</w:t>
      </w:r>
      <w:r w:rsidR="00244F8D">
        <w:t>: “It keeps you sharp, and it makes you work, makes you move, makes you do things that you may not do if you didn’t have that particular thin</w:t>
      </w:r>
      <w:r w:rsidR="00635E7C">
        <w:t>g to do. So it’s a big benefit.”</w:t>
      </w:r>
      <w:r w:rsidR="00504B87">
        <w:t xml:space="preserve"> Several par</w:t>
      </w:r>
      <w:r w:rsidR="00D52182">
        <w:t>ticipants acknowledged how</w:t>
      </w:r>
      <w:r w:rsidR="00504B87">
        <w:t xml:space="preserve"> employment shaped their identity, with one participant expressing the feeling of lost identity upon leaving </w:t>
      </w:r>
      <w:r w:rsidR="00D52182">
        <w:t>a</w:t>
      </w:r>
      <w:r w:rsidR="00504B87">
        <w:t xml:space="preserve"> teaching job.</w:t>
      </w:r>
    </w:p>
    <w:p w:rsidR="00F82277" w:rsidRDefault="00F82277"/>
    <w:p w:rsidR="00F82277" w:rsidRPr="00996F9E" w:rsidRDefault="00F82277" w:rsidP="00F82277">
      <w:pPr>
        <w:rPr>
          <w:b/>
        </w:rPr>
      </w:pPr>
      <w:r>
        <w:rPr>
          <w:b/>
        </w:rPr>
        <w:t xml:space="preserve">Based on </w:t>
      </w:r>
      <w:r w:rsidR="00C10373">
        <w:rPr>
          <w:b/>
        </w:rPr>
        <w:t xml:space="preserve">the </w:t>
      </w:r>
      <w:r>
        <w:rPr>
          <w:b/>
        </w:rPr>
        <w:t>findings, w</w:t>
      </w:r>
      <w:r w:rsidRPr="00996F9E">
        <w:rPr>
          <w:b/>
        </w:rPr>
        <w:t xml:space="preserve">hat </w:t>
      </w:r>
      <w:r>
        <w:rPr>
          <w:b/>
        </w:rPr>
        <w:t xml:space="preserve">survey </w:t>
      </w:r>
      <w:r w:rsidRPr="00996F9E">
        <w:rPr>
          <w:b/>
        </w:rPr>
        <w:t xml:space="preserve">items did </w:t>
      </w:r>
      <w:r w:rsidR="002858C8">
        <w:rPr>
          <w:b/>
        </w:rPr>
        <w:t>we develop</w:t>
      </w:r>
      <w:r w:rsidRPr="00996F9E">
        <w:rPr>
          <w:b/>
        </w:rPr>
        <w:t>?</w:t>
      </w:r>
    </w:p>
    <w:p w:rsidR="00E8295F" w:rsidRDefault="00F82277" w:rsidP="00F82277">
      <w:r>
        <w:t xml:space="preserve">Based on the qualitative responses by participants with multiple sclerosis (MS), </w:t>
      </w:r>
      <w:r w:rsidR="003F37D5">
        <w:t>the researchers</w:t>
      </w:r>
      <w:r>
        <w:t xml:space="preserve"> developed a 10-item set of considerations or needs people have when they make vocational decisions. Each item is measured on a five point Likert scale, with options ranging from not important to extremely important. </w:t>
      </w:r>
      <w:r w:rsidR="00E8295F">
        <w:t>The items include:</w:t>
      </w:r>
    </w:p>
    <w:p w:rsidR="00E8295F" w:rsidRPr="00E8295F" w:rsidRDefault="00E8295F" w:rsidP="00E8295F">
      <w:pPr>
        <w:pStyle w:val="ListParagraph"/>
        <w:numPr>
          <w:ilvl w:val="0"/>
          <w:numId w:val="4"/>
        </w:numPr>
        <w:rPr>
          <w:rFonts w:asciiTheme="minorHAnsi" w:hAnsiTheme="minorHAnsi"/>
          <w:sz w:val="22"/>
        </w:rPr>
      </w:pPr>
      <w:r w:rsidRPr="00E8295F">
        <w:rPr>
          <w:rFonts w:asciiTheme="minorHAnsi" w:hAnsiTheme="minorHAnsi"/>
          <w:sz w:val="22"/>
        </w:rPr>
        <w:t>Compensation (salary, wages)</w:t>
      </w:r>
    </w:p>
    <w:p w:rsidR="00E8295F" w:rsidRPr="00E8295F" w:rsidRDefault="00E8295F" w:rsidP="00E8295F">
      <w:pPr>
        <w:pStyle w:val="ListParagraph"/>
        <w:numPr>
          <w:ilvl w:val="0"/>
          <w:numId w:val="4"/>
        </w:numPr>
        <w:rPr>
          <w:rFonts w:asciiTheme="minorHAnsi" w:hAnsiTheme="minorHAnsi"/>
          <w:sz w:val="22"/>
        </w:rPr>
      </w:pPr>
      <w:r w:rsidRPr="00E8295F">
        <w:rPr>
          <w:rFonts w:asciiTheme="minorHAnsi" w:hAnsiTheme="minorHAnsi"/>
          <w:sz w:val="22"/>
        </w:rPr>
        <w:t>Health insurance and other fringe benefits (retirement, leave)</w:t>
      </w:r>
    </w:p>
    <w:p w:rsidR="00E8295F" w:rsidRPr="00E8295F" w:rsidRDefault="00E8295F" w:rsidP="00E8295F">
      <w:pPr>
        <w:pStyle w:val="ListParagraph"/>
        <w:numPr>
          <w:ilvl w:val="0"/>
          <w:numId w:val="4"/>
        </w:numPr>
        <w:rPr>
          <w:rFonts w:asciiTheme="minorHAnsi" w:hAnsiTheme="minorHAnsi"/>
          <w:sz w:val="22"/>
        </w:rPr>
      </w:pPr>
      <w:r w:rsidRPr="00E8295F">
        <w:rPr>
          <w:rFonts w:asciiTheme="minorHAnsi" w:hAnsiTheme="minorHAnsi"/>
          <w:sz w:val="22"/>
        </w:rPr>
        <w:t>Opportunities for advancement</w:t>
      </w:r>
    </w:p>
    <w:p w:rsidR="00E8295F" w:rsidRPr="00E8295F" w:rsidRDefault="00E8295F" w:rsidP="00E8295F">
      <w:pPr>
        <w:pStyle w:val="ListParagraph"/>
        <w:numPr>
          <w:ilvl w:val="0"/>
          <w:numId w:val="4"/>
        </w:numPr>
        <w:rPr>
          <w:rFonts w:asciiTheme="minorHAnsi" w:hAnsiTheme="minorHAnsi"/>
          <w:sz w:val="22"/>
        </w:rPr>
      </w:pPr>
      <w:r w:rsidRPr="00E8295F">
        <w:rPr>
          <w:rFonts w:asciiTheme="minorHAnsi" w:hAnsiTheme="minorHAnsi"/>
          <w:sz w:val="22"/>
        </w:rPr>
        <w:t>Recognition of performance</w:t>
      </w:r>
    </w:p>
    <w:p w:rsidR="00E8295F" w:rsidRPr="00E8295F" w:rsidRDefault="00E8295F" w:rsidP="00E8295F">
      <w:pPr>
        <w:pStyle w:val="ListParagraph"/>
        <w:numPr>
          <w:ilvl w:val="0"/>
          <w:numId w:val="4"/>
        </w:numPr>
        <w:rPr>
          <w:rFonts w:asciiTheme="minorHAnsi" w:hAnsiTheme="minorHAnsi"/>
          <w:sz w:val="22"/>
        </w:rPr>
      </w:pPr>
      <w:r w:rsidRPr="00E8295F">
        <w:rPr>
          <w:rFonts w:asciiTheme="minorHAnsi" w:hAnsiTheme="minorHAnsi"/>
          <w:sz w:val="22"/>
        </w:rPr>
        <w:t>Social connections (interaction, support from co-workers)</w:t>
      </w:r>
    </w:p>
    <w:p w:rsidR="00E8295F" w:rsidRPr="00E8295F" w:rsidRDefault="00E8295F" w:rsidP="00E8295F">
      <w:pPr>
        <w:pStyle w:val="ListParagraph"/>
        <w:numPr>
          <w:ilvl w:val="0"/>
          <w:numId w:val="4"/>
        </w:numPr>
        <w:rPr>
          <w:rFonts w:asciiTheme="minorHAnsi" w:hAnsiTheme="minorHAnsi"/>
          <w:sz w:val="22"/>
        </w:rPr>
      </w:pPr>
      <w:r w:rsidRPr="00E8295F">
        <w:rPr>
          <w:rFonts w:asciiTheme="minorHAnsi" w:hAnsiTheme="minorHAnsi"/>
          <w:sz w:val="22"/>
        </w:rPr>
        <w:t>Enjoyment from working</w:t>
      </w:r>
    </w:p>
    <w:p w:rsidR="00E8295F" w:rsidRPr="00E8295F" w:rsidRDefault="00E8295F" w:rsidP="00E8295F">
      <w:pPr>
        <w:pStyle w:val="ListParagraph"/>
        <w:numPr>
          <w:ilvl w:val="0"/>
          <w:numId w:val="4"/>
        </w:numPr>
        <w:rPr>
          <w:rFonts w:asciiTheme="minorHAnsi" w:hAnsiTheme="minorHAnsi"/>
          <w:sz w:val="22"/>
        </w:rPr>
      </w:pPr>
      <w:r w:rsidRPr="00E8295F">
        <w:rPr>
          <w:rFonts w:asciiTheme="minorHAnsi" w:hAnsiTheme="minorHAnsi"/>
          <w:sz w:val="22"/>
        </w:rPr>
        <w:t>Opportunities for helping others</w:t>
      </w:r>
    </w:p>
    <w:p w:rsidR="00E8295F" w:rsidRPr="00E8295F" w:rsidRDefault="00E8295F" w:rsidP="00E8295F">
      <w:pPr>
        <w:pStyle w:val="ListParagraph"/>
        <w:numPr>
          <w:ilvl w:val="0"/>
          <w:numId w:val="4"/>
        </w:numPr>
        <w:rPr>
          <w:rFonts w:asciiTheme="minorHAnsi" w:hAnsiTheme="minorHAnsi"/>
          <w:sz w:val="22"/>
        </w:rPr>
      </w:pPr>
      <w:r w:rsidRPr="00E8295F">
        <w:rPr>
          <w:rFonts w:asciiTheme="minorHAnsi" w:hAnsiTheme="minorHAnsi"/>
          <w:sz w:val="22"/>
        </w:rPr>
        <w:t>Feeling better about self from working</w:t>
      </w:r>
    </w:p>
    <w:p w:rsidR="00E8295F" w:rsidRPr="00E8295F" w:rsidRDefault="00E8295F" w:rsidP="00E8295F">
      <w:pPr>
        <w:pStyle w:val="ListParagraph"/>
        <w:numPr>
          <w:ilvl w:val="0"/>
          <w:numId w:val="4"/>
        </w:numPr>
        <w:rPr>
          <w:rFonts w:asciiTheme="minorHAnsi" w:hAnsiTheme="minorHAnsi"/>
          <w:sz w:val="22"/>
        </w:rPr>
      </w:pPr>
      <w:r w:rsidRPr="00E8295F">
        <w:rPr>
          <w:rFonts w:asciiTheme="minorHAnsi" w:hAnsiTheme="minorHAnsi"/>
          <w:sz w:val="22"/>
        </w:rPr>
        <w:t>Staying busy</w:t>
      </w:r>
    </w:p>
    <w:p w:rsidR="00E8295F" w:rsidRPr="00E8295F" w:rsidRDefault="00E8295F" w:rsidP="00F82277">
      <w:pPr>
        <w:pStyle w:val="ListParagraph"/>
        <w:numPr>
          <w:ilvl w:val="0"/>
          <w:numId w:val="4"/>
        </w:numPr>
        <w:rPr>
          <w:rFonts w:asciiTheme="minorHAnsi" w:hAnsiTheme="minorHAnsi"/>
          <w:sz w:val="22"/>
        </w:rPr>
      </w:pPr>
      <w:r w:rsidRPr="00E8295F">
        <w:rPr>
          <w:rFonts w:asciiTheme="minorHAnsi" w:hAnsiTheme="minorHAnsi"/>
          <w:sz w:val="22"/>
        </w:rPr>
        <w:t>Others share the workload</w:t>
      </w:r>
      <w:r>
        <w:rPr>
          <w:rFonts w:asciiTheme="minorHAnsi" w:hAnsiTheme="minorHAnsi"/>
          <w:sz w:val="22"/>
        </w:rPr>
        <w:br/>
      </w:r>
    </w:p>
    <w:p w:rsidR="00F82277" w:rsidRDefault="00F82277" w:rsidP="00F82277">
      <w:r>
        <w:t>The set of 10 items was developed to serve as a corresponding tool for measuring satisfaction with employment. Each item from the needs/decision-making component had a corresponding satisfaction item, with options ranging from very</w:t>
      </w:r>
      <w:r w:rsidR="0048037D">
        <w:t xml:space="preserve"> dissatisfied to very </w:t>
      </w:r>
      <w:proofErr w:type="gramStart"/>
      <w:r w:rsidR="0048037D">
        <w:t>satisfied</w:t>
      </w:r>
      <w:proofErr w:type="gramEnd"/>
      <w:r>
        <w:t>. Although the rudimentary tool has been developed based on the qualitative responses, it is yet t</w:t>
      </w:r>
      <w:r w:rsidR="00635E7C">
        <w:t>o be validated</w:t>
      </w:r>
      <w:r w:rsidR="003F37D5">
        <w:t xml:space="preserve">. This tool </w:t>
      </w:r>
      <w:r w:rsidR="00635E7C">
        <w:t>will be</w:t>
      </w:r>
      <w:r w:rsidR="003F37D5">
        <w:t xml:space="preserve"> validated</w:t>
      </w:r>
      <w:r w:rsidR="00635E7C">
        <w:t xml:space="preserve"> with </w:t>
      </w:r>
      <w:r>
        <w:t>quantitative data</w:t>
      </w:r>
      <w:r w:rsidR="003F37D5">
        <w:t>,</w:t>
      </w:r>
      <w:r>
        <w:t xml:space="preserve"> which will compare the needs an</w:t>
      </w:r>
      <w:r w:rsidR="00635E7C">
        <w:t xml:space="preserve">d satisfaction of participants </w:t>
      </w:r>
      <w:r>
        <w:t>and their relation to job stability.</w:t>
      </w:r>
    </w:p>
    <w:p w:rsidR="009C61BA" w:rsidRDefault="009C61BA">
      <w:pPr>
        <w:rPr>
          <w:b/>
        </w:rPr>
      </w:pPr>
    </w:p>
    <w:p w:rsidR="009C61BA" w:rsidRPr="009C61BA" w:rsidRDefault="009C61BA">
      <w:pPr>
        <w:rPr>
          <w:b/>
        </w:rPr>
      </w:pPr>
      <w:r w:rsidRPr="009C61BA">
        <w:rPr>
          <w:b/>
        </w:rPr>
        <w:t>Conclusions</w:t>
      </w:r>
    </w:p>
    <w:p w:rsidR="009C61BA" w:rsidRPr="009C61BA" w:rsidRDefault="005446DC" w:rsidP="009C61BA">
      <w:r>
        <w:t xml:space="preserve">The importance of work to the lives of people with MS cannot be measured by employment rate alone. </w:t>
      </w:r>
      <w:r w:rsidR="003F37D5">
        <w:t>The</w:t>
      </w:r>
      <w:r w:rsidR="009C61BA" w:rsidRPr="009C61BA">
        <w:t xml:space="preserve"> </w:t>
      </w:r>
      <w:r w:rsidR="00C55CFA">
        <w:t>emphasis</w:t>
      </w:r>
      <w:r w:rsidR="003F37D5">
        <w:t xml:space="preserve"> needs to be expanded</w:t>
      </w:r>
      <w:r w:rsidR="00C55CFA">
        <w:t xml:space="preserve"> </w:t>
      </w:r>
      <w:r w:rsidR="009C61BA" w:rsidRPr="009C61BA">
        <w:t>from</w:t>
      </w:r>
      <w:r w:rsidR="006C7DE5">
        <w:t xml:space="preserve"> focusing </w:t>
      </w:r>
      <w:r w:rsidR="003F37D5">
        <w:t>almost</w:t>
      </w:r>
      <w:r w:rsidR="006C7DE5">
        <w:t xml:space="preserve"> exclusively on </w:t>
      </w:r>
      <w:r w:rsidR="009C61BA" w:rsidRPr="009C61BA">
        <w:t xml:space="preserve">the portion of people </w:t>
      </w:r>
      <w:r w:rsidR="00635E7C">
        <w:t>who</w:t>
      </w:r>
      <w:r w:rsidR="009C61BA" w:rsidRPr="009C61BA">
        <w:t xml:space="preserve"> are employed after disability to a greater emphasis on the </w:t>
      </w:r>
      <w:r w:rsidR="009C61BA" w:rsidRPr="009F48F8">
        <w:rPr>
          <w:i/>
        </w:rPr>
        <w:t>quality</w:t>
      </w:r>
      <w:r w:rsidR="006C7DE5">
        <w:t xml:space="preserve"> </w:t>
      </w:r>
      <w:r w:rsidR="009C61BA" w:rsidRPr="009C61BA">
        <w:t xml:space="preserve">of employment </w:t>
      </w:r>
      <w:r w:rsidR="009C61BA" w:rsidRPr="009F48F8">
        <w:rPr>
          <w:iCs/>
        </w:rPr>
        <w:t xml:space="preserve">among those who </w:t>
      </w:r>
      <w:r w:rsidR="008C6AB6">
        <w:rPr>
          <w:iCs/>
        </w:rPr>
        <w:t>have become employed</w:t>
      </w:r>
      <w:r w:rsidR="009C61BA" w:rsidRPr="009C61BA">
        <w:t>. The emphasis on the employment rate obscures the importance of career development and associated benefits with participation, health, and quality-of-life.</w:t>
      </w:r>
      <w:r w:rsidR="006C7DE5">
        <w:t xml:space="preserve"> </w:t>
      </w:r>
      <w:r w:rsidR="008C6AB6">
        <w:t xml:space="preserve">Quality employment will promote health, community integration, quality of life, and </w:t>
      </w:r>
      <w:r w:rsidR="00635E7C">
        <w:t>a</w:t>
      </w:r>
      <w:r w:rsidR="008C6AB6">
        <w:t xml:space="preserve"> sense of well-being.</w:t>
      </w:r>
    </w:p>
    <w:p w:rsidR="00F82277" w:rsidRPr="00E8295F" w:rsidRDefault="009C61BA" w:rsidP="0045689B">
      <w:r w:rsidRPr="009C61BA">
        <w:t xml:space="preserve">Future </w:t>
      </w:r>
      <w:r w:rsidR="00BB5F1F">
        <w:t>applications</w:t>
      </w:r>
      <w:r w:rsidRPr="009C61BA">
        <w:t xml:space="preserve"> should work toward maximizing employment outcomes among those with </w:t>
      </w:r>
      <w:r w:rsidR="006C7DE5">
        <w:t xml:space="preserve">MS and other </w:t>
      </w:r>
      <w:r w:rsidR="003F37D5">
        <w:t>disabilities</w:t>
      </w:r>
      <w:r w:rsidRPr="009C61BA">
        <w:t>, rather than focusing on return to employment or transition only</w:t>
      </w:r>
      <w:r w:rsidR="00BB5F1F">
        <w:t>. Enhancing</w:t>
      </w:r>
      <w:r w:rsidRPr="009C61BA">
        <w:t xml:space="preserve"> prediction of changes in employment outcomes, which will allow for more accurat</w:t>
      </w:r>
      <w:r w:rsidR="00BB5F1F">
        <w:t>e assessment of lifetime needs (</w:t>
      </w:r>
      <w:r w:rsidR="00635E7C">
        <w:t>such as is</w:t>
      </w:r>
      <w:r w:rsidRPr="009C61BA">
        <w:t xml:space="preserve"> </w:t>
      </w:r>
      <w:r w:rsidR="009F48F8">
        <w:t xml:space="preserve">in </w:t>
      </w:r>
      <w:r w:rsidRPr="009C61BA">
        <w:t>the life care plan</w:t>
      </w:r>
      <w:r w:rsidR="00BB5F1F">
        <w:t>)</w:t>
      </w:r>
      <w:r w:rsidR="008C6AB6">
        <w:t>,</w:t>
      </w:r>
      <w:r w:rsidR="00BB5F1F">
        <w:t xml:space="preserve"> should be done, as well as developing equations which use weighted models for various outcomes that determine </w:t>
      </w:r>
      <w:r w:rsidR="00635E7C">
        <w:t xml:space="preserve">better </w:t>
      </w:r>
      <w:r w:rsidR="00BB5F1F">
        <w:t>the cost effectiveness of interventions to promote overall employment success.</w:t>
      </w:r>
    </w:p>
    <w:p w:rsidR="0045689B" w:rsidRPr="009C61BA" w:rsidRDefault="0045689B" w:rsidP="009C61BA"/>
    <w:p w:rsidR="009C61BA" w:rsidRDefault="009C61BA"/>
    <w:sectPr w:rsidR="009C61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E1" w:rsidRDefault="003307E1" w:rsidP="008E2F54">
      <w:pPr>
        <w:spacing w:after="0" w:line="240" w:lineRule="auto"/>
      </w:pPr>
      <w:r>
        <w:separator/>
      </w:r>
    </w:p>
  </w:endnote>
  <w:endnote w:type="continuationSeparator" w:id="0">
    <w:p w:rsidR="003307E1" w:rsidRDefault="003307E1" w:rsidP="008E2F54">
      <w:pPr>
        <w:spacing w:after="0" w:line="240" w:lineRule="auto"/>
      </w:pPr>
      <w:r>
        <w:continuationSeparator/>
      </w:r>
    </w:p>
  </w:endnote>
  <w:endnote w:id="1">
    <w:p w:rsidR="008E2F54" w:rsidRDefault="008E2F54" w:rsidP="008E2F54">
      <w:pPr>
        <w:pStyle w:val="EndnoteText"/>
      </w:pPr>
      <w:r>
        <w:rPr>
          <w:rStyle w:val="EndnoteReference"/>
        </w:rPr>
        <w:endnoteRef/>
      </w:r>
      <w:r>
        <w:t xml:space="preserve"> The National Multiple Sclerosis (MS) </w:t>
      </w:r>
      <w:r w:rsidR="009C61BA">
        <w:t>Society,</w:t>
      </w:r>
      <w:r w:rsidR="007E05A4">
        <w:t xml:space="preserve"> accessed August 11, 2015, </w:t>
      </w:r>
      <w:hyperlink r:id="rId1" w:history="1">
        <w:r w:rsidR="007E05A4" w:rsidRPr="00C94C54">
          <w:rPr>
            <w:rStyle w:val="Hyperlink"/>
          </w:rPr>
          <w:t>http://www.nationalmssociety.org/What-is-MS/Who-Gets-MS</w:t>
        </w:r>
      </w:hyperlink>
      <w:r w:rsidR="007E05A4">
        <w:t xml:space="preserve">. </w:t>
      </w:r>
    </w:p>
  </w:endnote>
  <w:endnote w:id="2">
    <w:p w:rsidR="00EC3356" w:rsidRDefault="00EC3356">
      <w:pPr>
        <w:pStyle w:val="EndnoteText"/>
      </w:pPr>
      <w:r>
        <w:rPr>
          <w:rStyle w:val="EndnoteReference"/>
        </w:rPr>
        <w:endnoteRef/>
      </w:r>
      <w:r>
        <w:t xml:space="preserve"> </w:t>
      </w:r>
      <w:r w:rsidR="00394DC7" w:rsidRPr="00EC3356">
        <w:t>Fraser, R., Clemmons, D., &amp; Bennett, F. (2002). Multiple sclerosis: psychosocial and vocational interventions. New York: Demos.</w:t>
      </w:r>
    </w:p>
  </w:endnote>
  <w:endnote w:id="3">
    <w:p w:rsidR="00562CE7" w:rsidRPr="00EC3356" w:rsidRDefault="00EC3356" w:rsidP="00EC3356">
      <w:pPr>
        <w:pStyle w:val="EndnoteText"/>
      </w:pPr>
      <w:r>
        <w:rPr>
          <w:rStyle w:val="EndnoteReference"/>
        </w:rPr>
        <w:endnoteRef/>
      </w:r>
      <w:r>
        <w:t xml:space="preserve"> </w:t>
      </w:r>
      <w:r w:rsidR="00394DC7" w:rsidRPr="00EC3356">
        <w:t xml:space="preserve">Rumrill, P. D., Hennessy, M., &amp; Nissen, S. (2008). Employment issues and multiple sclerosis (2 </w:t>
      </w:r>
      <w:proofErr w:type="gramStart"/>
      <w:r w:rsidR="00394DC7" w:rsidRPr="00EC3356">
        <w:t>ed</w:t>
      </w:r>
      <w:proofErr w:type="gramEnd"/>
      <w:r w:rsidR="00394DC7" w:rsidRPr="00EC3356">
        <w:t>.). New York, NY: Demos Medical Publishing, Inc.</w:t>
      </w:r>
    </w:p>
    <w:p w:rsidR="00EC3356" w:rsidRDefault="00EC3356">
      <w:pPr>
        <w:pStyle w:val="EndnoteText"/>
      </w:pPr>
    </w:p>
    <w:p w:rsidR="004E5D94" w:rsidRDefault="004E5D94">
      <w:pPr>
        <w:pStyle w:val="EndnoteText"/>
      </w:pPr>
    </w:p>
    <w:p w:rsidR="004E5D94" w:rsidRDefault="004E5D94">
      <w:pPr>
        <w:pStyle w:val="EndnoteText"/>
      </w:pPr>
    </w:p>
    <w:p w:rsidR="004E5D94" w:rsidRDefault="004E5D94">
      <w:pPr>
        <w:pStyle w:val="EndnoteText"/>
      </w:pPr>
    </w:p>
    <w:p w:rsidR="004E5D94" w:rsidRDefault="004E5D94">
      <w:pPr>
        <w:pStyle w:val="EndnoteText"/>
      </w:pPr>
    </w:p>
    <w:p w:rsidR="004E5D94" w:rsidRDefault="004E5D94">
      <w:pPr>
        <w:pStyle w:val="EndnoteText"/>
      </w:pPr>
    </w:p>
    <w:p w:rsidR="004E5D94" w:rsidRDefault="004E5D94">
      <w:pPr>
        <w:pStyle w:val="EndnoteText"/>
      </w:pPr>
    </w:p>
    <w:p w:rsidR="004E5D94" w:rsidRDefault="004E5D94">
      <w:pPr>
        <w:pStyle w:val="EndnoteText"/>
      </w:pPr>
    </w:p>
    <w:p w:rsidR="004E5D94" w:rsidRDefault="004E5D94">
      <w:pPr>
        <w:pStyle w:val="EndnoteText"/>
      </w:pPr>
    </w:p>
    <w:p w:rsidR="004E5D94" w:rsidRPr="004E5D94" w:rsidRDefault="004E5D94" w:rsidP="004E5D94">
      <w:pPr>
        <w:pStyle w:val="EndnoteText"/>
      </w:pPr>
      <w:r w:rsidRPr="004E5D94">
        <w:t xml:space="preserve">Information for this research brief was developed for the VCU-RRTC on Employment of People with Physical Disabilities.  Questions on this brief should be directed to Dr. </w:t>
      </w:r>
      <w:r>
        <w:t>James Krause</w:t>
      </w:r>
      <w:r w:rsidRPr="004E5D94">
        <w:t xml:space="preserve"> at [krause@musc.edu].  For more information on the VCU-RRTC or if accommodations are needed, you may contact Dr. Katherine Inge, Project Director at kinge@vcu.edu or (804)-828-5956.  Please visit us at: http://www.vcurrtc.org.</w:t>
      </w:r>
    </w:p>
    <w:p w:rsidR="004E5D94" w:rsidRPr="004E5D94" w:rsidRDefault="004E5D94" w:rsidP="004E5D94">
      <w:pPr>
        <w:pStyle w:val="EndnoteText"/>
      </w:pPr>
    </w:p>
    <w:p w:rsidR="004E5D94" w:rsidRPr="004E5D94" w:rsidRDefault="004E5D94" w:rsidP="004E5D94">
      <w:pPr>
        <w:pStyle w:val="EndnoteText"/>
      </w:pPr>
      <w:r w:rsidRPr="004E5D94">
        <w:t>Virginia Commonwealth University, Rehabilitation Research and Training Center on Employment of People with Physical Disabilities (VCU-RRTC) is an equal opportunity/affirmative action institution providing access to education and employment without regard to age, race, color, national origin, gender, religion, sexual orientation, veteran's status, political affiliation, or disability. The VCU-RRTC is funded by the National Institute on Disability, Independent Living, and Rehabilitation Research (NIDILRR grant number #H133B130011). NIDILRR is a Center within the Administration for Community Living (ACL), Department of Health and Human Services (HHS).</w:t>
      </w:r>
      <w:r>
        <w:t xml:space="preserve"> </w:t>
      </w:r>
    </w:p>
    <w:p w:rsidR="004E5D94" w:rsidRDefault="004E5D9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FA" w:rsidRDefault="00C55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FA" w:rsidRDefault="00C55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FA" w:rsidRDefault="00C55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E1" w:rsidRDefault="003307E1" w:rsidP="008E2F54">
      <w:pPr>
        <w:spacing w:after="0" w:line="240" w:lineRule="auto"/>
      </w:pPr>
      <w:r>
        <w:separator/>
      </w:r>
    </w:p>
  </w:footnote>
  <w:footnote w:type="continuationSeparator" w:id="0">
    <w:p w:rsidR="003307E1" w:rsidRDefault="003307E1" w:rsidP="008E2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FA" w:rsidRDefault="00C55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FA" w:rsidRDefault="00C55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FA" w:rsidRDefault="00C55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3684"/>
    <w:multiLevelType w:val="hybridMultilevel"/>
    <w:tmpl w:val="64243E70"/>
    <w:lvl w:ilvl="0" w:tplc="D960E9AC">
      <w:start w:val="1"/>
      <w:numFmt w:val="decimal"/>
      <w:lvlText w:val="%1."/>
      <w:lvlJc w:val="left"/>
      <w:pPr>
        <w:tabs>
          <w:tab w:val="num" w:pos="720"/>
        </w:tabs>
        <w:ind w:left="720" w:hanging="360"/>
      </w:pPr>
    </w:lvl>
    <w:lvl w:ilvl="1" w:tplc="2638A760" w:tentative="1">
      <w:start w:val="1"/>
      <w:numFmt w:val="decimal"/>
      <w:lvlText w:val="%2."/>
      <w:lvlJc w:val="left"/>
      <w:pPr>
        <w:tabs>
          <w:tab w:val="num" w:pos="1440"/>
        </w:tabs>
        <w:ind w:left="1440" w:hanging="360"/>
      </w:pPr>
    </w:lvl>
    <w:lvl w:ilvl="2" w:tplc="8EC4A14C" w:tentative="1">
      <w:start w:val="1"/>
      <w:numFmt w:val="decimal"/>
      <w:lvlText w:val="%3."/>
      <w:lvlJc w:val="left"/>
      <w:pPr>
        <w:tabs>
          <w:tab w:val="num" w:pos="2160"/>
        </w:tabs>
        <w:ind w:left="2160" w:hanging="360"/>
      </w:pPr>
    </w:lvl>
    <w:lvl w:ilvl="3" w:tplc="6D6C5AC6" w:tentative="1">
      <w:start w:val="1"/>
      <w:numFmt w:val="decimal"/>
      <w:lvlText w:val="%4."/>
      <w:lvlJc w:val="left"/>
      <w:pPr>
        <w:tabs>
          <w:tab w:val="num" w:pos="2880"/>
        </w:tabs>
        <w:ind w:left="2880" w:hanging="360"/>
      </w:pPr>
    </w:lvl>
    <w:lvl w:ilvl="4" w:tplc="C1021C72" w:tentative="1">
      <w:start w:val="1"/>
      <w:numFmt w:val="decimal"/>
      <w:lvlText w:val="%5."/>
      <w:lvlJc w:val="left"/>
      <w:pPr>
        <w:tabs>
          <w:tab w:val="num" w:pos="3600"/>
        </w:tabs>
        <w:ind w:left="3600" w:hanging="360"/>
      </w:pPr>
    </w:lvl>
    <w:lvl w:ilvl="5" w:tplc="BAFAB186" w:tentative="1">
      <w:start w:val="1"/>
      <w:numFmt w:val="decimal"/>
      <w:lvlText w:val="%6."/>
      <w:lvlJc w:val="left"/>
      <w:pPr>
        <w:tabs>
          <w:tab w:val="num" w:pos="4320"/>
        </w:tabs>
        <w:ind w:left="4320" w:hanging="360"/>
      </w:pPr>
    </w:lvl>
    <w:lvl w:ilvl="6" w:tplc="0644E1AE" w:tentative="1">
      <w:start w:val="1"/>
      <w:numFmt w:val="decimal"/>
      <w:lvlText w:val="%7."/>
      <w:lvlJc w:val="left"/>
      <w:pPr>
        <w:tabs>
          <w:tab w:val="num" w:pos="5040"/>
        </w:tabs>
        <w:ind w:left="5040" w:hanging="360"/>
      </w:pPr>
    </w:lvl>
    <w:lvl w:ilvl="7" w:tplc="51B4B91A" w:tentative="1">
      <w:start w:val="1"/>
      <w:numFmt w:val="decimal"/>
      <w:lvlText w:val="%8."/>
      <w:lvlJc w:val="left"/>
      <w:pPr>
        <w:tabs>
          <w:tab w:val="num" w:pos="5760"/>
        </w:tabs>
        <w:ind w:left="5760" w:hanging="360"/>
      </w:pPr>
    </w:lvl>
    <w:lvl w:ilvl="8" w:tplc="A352FC62" w:tentative="1">
      <w:start w:val="1"/>
      <w:numFmt w:val="decimal"/>
      <w:lvlText w:val="%9."/>
      <w:lvlJc w:val="left"/>
      <w:pPr>
        <w:tabs>
          <w:tab w:val="num" w:pos="6480"/>
        </w:tabs>
        <w:ind w:left="6480" w:hanging="360"/>
      </w:pPr>
    </w:lvl>
  </w:abstractNum>
  <w:abstractNum w:abstractNumId="1">
    <w:nsid w:val="45767538"/>
    <w:multiLevelType w:val="hybridMultilevel"/>
    <w:tmpl w:val="791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31B81"/>
    <w:multiLevelType w:val="hybridMultilevel"/>
    <w:tmpl w:val="C252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3329E"/>
    <w:multiLevelType w:val="hybridMultilevel"/>
    <w:tmpl w:val="0FE4ED68"/>
    <w:lvl w:ilvl="0" w:tplc="4F5275D6">
      <w:start w:val="1"/>
      <w:numFmt w:val="decimal"/>
      <w:lvlText w:val="%1."/>
      <w:lvlJc w:val="left"/>
      <w:pPr>
        <w:tabs>
          <w:tab w:val="num" w:pos="720"/>
        </w:tabs>
        <w:ind w:left="720" w:hanging="360"/>
      </w:pPr>
    </w:lvl>
    <w:lvl w:ilvl="1" w:tplc="3402ABBC" w:tentative="1">
      <w:start w:val="1"/>
      <w:numFmt w:val="decimal"/>
      <w:lvlText w:val="%2."/>
      <w:lvlJc w:val="left"/>
      <w:pPr>
        <w:tabs>
          <w:tab w:val="num" w:pos="1440"/>
        </w:tabs>
        <w:ind w:left="1440" w:hanging="360"/>
      </w:pPr>
    </w:lvl>
    <w:lvl w:ilvl="2" w:tplc="CB0ACF10" w:tentative="1">
      <w:start w:val="1"/>
      <w:numFmt w:val="decimal"/>
      <w:lvlText w:val="%3."/>
      <w:lvlJc w:val="left"/>
      <w:pPr>
        <w:tabs>
          <w:tab w:val="num" w:pos="2160"/>
        </w:tabs>
        <w:ind w:left="2160" w:hanging="360"/>
      </w:pPr>
    </w:lvl>
    <w:lvl w:ilvl="3" w:tplc="3FFE4516" w:tentative="1">
      <w:start w:val="1"/>
      <w:numFmt w:val="decimal"/>
      <w:lvlText w:val="%4."/>
      <w:lvlJc w:val="left"/>
      <w:pPr>
        <w:tabs>
          <w:tab w:val="num" w:pos="2880"/>
        </w:tabs>
        <w:ind w:left="2880" w:hanging="360"/>
      </w:pPr>
    </w:lvl>
    <w:lvl w:ilvl="4" w:tplc="D118112E" w:tentative="1">
      <w:start w:val="1"/>
      <w:numFmt w:val="decimal"/>
      <w:lvlText w:val="%5."/>
      <w:lvlJc w:val="left"/>
      <w:pPr>
        <w:tabs>
          <w:tab w:val="num" w:pos="3600"/>
        </w:tabs>
        <w:ind w:left="3600" w:hanging="360"/>
      </w:pPr>
    </w:lvl>
    <w:lvl w:ilvl="5" w:tplc="86A015D8" w:tentative="1">
      <w:start w:val="1"/>
      <w:numFmt w:val="decimal"/>
      <w:lvlText w:val="%6."/>
      <w:lvlJc w:val="left"/>
      <w:pPr>
        <w:tabs>
          <w:tab w:val="num" w:pos="4320"/>
        </w:tabs>
        <w:ind w:left="4320" w:hanging="360"/>
      </w:pPr>
    </w:lvl>
    <w:lvl w:ilvl="6" w:tplc="6DE8B894" w:tentative="1">
      <w:start w:val="1"/>
      <w:numFmt w:val="decimal"/>
      <w:lvlText w:val="%7."/>
      <w:lvlJc w:val="left"/>
      <w:pPr>
        <w:tabs>
          <w:tab w:val="num" w:pos="5040"/>
        </w:tabs>
        <w:ind w:left="5040" w:hanging="360"/>
      </w:pPr>
    </w:lvl>
    <w:lvl w:ilvl="7" w:tplc="75500914" w:tentative="1">
      <w:start w:val="1"/>
      <w:numFmt w:val="decimal"/>
      <w:lvlText w:val="%8."/>
      <w:lvlJc w:val="left"/>
      <w:pPr>
        <w:tabs>
          <w:tab w:val="num" w:pos="5760"/>
        </w:tabs>
        <w:ind w:left="5760" w:hanging="360"/>
      </w:pPr>
    </w:lvl>
    <w:lvl w:ilvl="8" w:tplc="93FE08EA"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MRILL, PHILLIP">
    <w15:presenceInfo w15:providerId="None" w15:userId="RUMRILL, PHILL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C44E7A-BDDA-4E41-9314-08C990A7CD58}"/>
    <w:docVar w:name="dgnword-eventsink" w:val="88330168"/>
    <w:docVar w:name="dgnword-lastRevisionsView" w:val="0"/>
  </w:docVars>
  <w:rsids>
    <w:rsidRoot w:val="00D570C3"/>
    <w:rsid w:val="00080936"/>
    <w:rsid w:val="000C4470"/>
    <w:rsid w:val="000D2E81"/>
    <w:rsid w:val="001679F9"/>
    <w:rsid w:val="00244F8D"/>
    <w:rsid w:val="00262F1E"/>
    <w:rsid w:val="002858C8"/>
    <w:rsid w:val="00291426"/>
    <w:rsid w:val="002E35B2"/>
    <w:rsid w:val="003307E1"/>
    <w:rsid w:val="0034012C"/>
    <w:rsid w:val="003428A4"/>
    <w:rsid w:val="00355826"/>
    <w:rsid w:val="00394DC7"/>
    <w:rsid w:val="003A32EF"/>
    <w:rsid w:val="003C30A0"/>
    <w:rsid w:val="003F37D5"/>
    <w:rsid w:val="0045689B"/>
    <w:rsid w:val="0048037D"/>
    <w:rsid w:val="004D36C4"/>
    <w:rsid w:val="004E5D94"/>
    <w:rsid w:val="004F0D3D"/>
    <w:rsid w:val="00504B87"/>
    <w:rsid w:val="005446DC"/>
    <w:rsid w:val="00562CE7"/>
    <w:rsid w:val="00565A2F"/>
    <w:rsid w:val="005F7089"/>
    <w:rsid w:val="00635E7C"/>
    <w:rsid w:val="00697A87"/>
    <w:rsid w:val="006C7DE5"/>
    <w:rsid w:val="00737186"/>
    <w:rsid w:val="007E05A4"/>
    <w:rsid w:val="00846719"/>
    <w:rsid w:val="008C6AB6"/>
    <w:rsid w:val="008E2F54"/>
    <w:rsid w:val="009A2414"/>
    <w:rsid w:val="009C61BA"/>
    <w:rsid w:val="009F48F8"/>
    <w:rsid w:val="00B60F0B"/>
    <w:rsid w:val="00B63167"/>
    <w:rsid w:val="00B76903"/>
    <w:rsid w:val="00B800DB"/>
    <w:rsid w:val="00B80303"/>
    <w:rsid w:val="00BB5F1F"/>
    <w:rsid w:val="00C05292"/>
    <w:rsid w:val="00C10373"/>
    <w:rsid w:val="00C149FE"/>
    <w:rsid w:val="00C44E9F"/>
    <w:rsid w:val="00C55CFA"/>
    <w:rsid w:val="00C77D90"/>
    <w:rsid w:val="00C94205"/>
    <w:rsid w:val="00CE0FA6"/>
    <w:rsid w:val="00D52182"/>
    <w:rsid w:val="00D570C3"/>
    <w:rsid w:val="00D573BD"/>
    <w:rsid w:val="00D8068D"/>
    <w:rsid w:val="00E06BD8"/>
    <w:rsid w:val="00E142D1"/>
    <w:rsid w:val="00E409AE"/>
    <w:rsid w:val="00E44A8F"/>
    <w:rsid w:val="00E455FE"/>
    <w:rsid w:val="00E8295F"/>
    <w:rsid w:val="00EB6E31"/>
    <w:rsid w:val="00EC3356"/>
    <w:rsid w:val="00EE7E3E"/>
    <w:rsid w:val="00F377A3"/>
    <w:rsid w:val="00F7169F"/>
    <w:rsid w:val="00F8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E2F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F54"/>
    <w:rPr>
      <w:sz w:val="20"/>
      <w:szCs w:val="20"/>
    </w:rPr>
  </w:style>
  <w:style w:type="character" w:styleId="EndnoteReference">
    <w:name w:val="endnote reference"/>
    <w:basedOn w:val="DefaultParagraphFont"/>
    <w:uiPriority w:val="99"/>
    <w:semiHidden/>
    <w:unhideWhenUsed/>
    <w:rsid w:val="008E2F54"/>
    <w:rPr>
      <w:vertAlign w:val="superscript"/>
    </w:rPr>
  </w:style>
  <w:style w:type="character" w:styleId="Hyperlink">
    <w:name w:val="Hyperlink"/>
    <w:basedOn w:val="DefaultParagraphFont"/>
    <w:uiPriority w:val="99"/>
    <w:unhideWhenUsed/>
    <w:rsid w:val="007E05A4"/>
    <w:rPr>
      <w:color w:val="0000FF" w:themeColor="hyperlink"/>
      <w:u w:val="single"/>
    </w:rPr>
  </w:style>
  <w:style w:type="paragraph" w:styleId="BalloonText">
    <w:name w:val="Balloon Text"/>
    <w:basedOn w:val="Normal"/>
    <w:link w:val="BalloonTextChar"/>
    <w:uiPriority w:val="99"/>
    <w:semiHidden/>
    <w:unhideWhenUsed/>
    <w:rsid w:val="00F3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A3"/>
    <w:rPr>
      <w:rFonts w:ascii="Tahoma" w:hAnsi="Tahoma" w:cs="Tahoma"/>
      <w:sz w:val="16"/>
      <w:szCs w:val="16"/>
    </w:rPr>
  </w:style>
  <w:style w:type="character" w:styleId="CommentReference">
    <w:name w:val="annotation reference"/>
    <w:basedOn w:val="DefaultParagraphFont"/>
    <w:uiPriority w:val="99"/>
    <w:semiHidden/>
    <w:unhideWhenUsed/>
    <w:rsid w:val="006C7DE5"/>
    <w:rPr>
      <w:sz w:val="16"/>
      <w:szCs w:val="16"/>
    </w:rPr>
  </w:style>
  <w:style w:type="paragraph" w:styleId="CommentText">
    <w:name w:val="annotation text"/>
    <w:basedOn w:val="Normal"/>
    <w:link w:val="CommentTextChar"/>
    <w:uiPriority w:val="99"/>
    <w:semiHidden/>
    <w:unhideWhenUsed/>
    <w:rsid w:val="006C7DE5"/>
    <w:pPr>
      <w:spacing w:line="240" w:lineRule="auto"/>
    </w:pPr>
    <w:rPr>
      <w:sz w:val="20"/>
      <w:szCs w:val="20"/>
    </w:rPr>
  </w:style>
  <w:style w:type="character" w:customStyle="1" w:styleId="CommentTextChar">
    <w:name w:val="Comment Text Char"/>
    <w:basedOn w:val="DefaultParagraphFont"/>
    <w:link w:val="CommentText"/>
    <w:uiPriority w:val="99"/>
    <w:semiHidden/>
    <w:rsid w:val="006C7DE5"/>
    <w:rPr>
      <w:sz w:val="20"/>
      <w:szCs w:val="20"/>
    </w:rPr>
  </w:style>
  <w:style w:type="paragraph" w:styleId="CommentSubject">
    <w:name w:val="annotation subject"/>
    <w:basedOn w:val="CommentText"/>
    <w:next w:val="CommentText"/>
    <w:link w:val="CommentSubjectChar"/>
    <w:uiPriority w:val="99"/>
    <w:semiHidden/>
    <w:unhideWhenUsed/>
    <w:rsid w:val="006C7DE5"/>
    <w:rPr>
      <w:b/>
      <w:bCs/>
    </w:rPr>
  </w:style>
  <w:style w:type="character" w:customStyle="1" w:styleId="CommentSubjectChar">
    <w:name w:val="Comment Subject Char"/>
    <w:basedOn w:val="CommentTextChar"/>
    <w:link w:val="CommentSubject"/>
    <w:uiPriority w:val="99"/>
    <w:semiHidden/>
    <w:rsid w:val="006C7DE5"/>
    <w:rPr>
      <w:b/>
      <w:bCs/>
      <w:sz w:val="20"/>
      <w:szCs w:val="20"/>
    </w:rPr>
  </w:style>
  <w:style w:type="paragraph" w:styleId="ListParagraph">
    <w:name w:val="List Paragraph"/>
    <w:basedOn w:val="Normal"/>
    <w:uiPriority w:val="34"/>
    <w:qFormat/>
    <w:rsid w:val="00EC335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FA"/>
  </w:style>
  <w:style w:type="paragraph" w:styleId="Footer">
    <w:name w:val="footer"/>
    <w:basedOn w:val="Normal"/>
    <w:link w:val="FooterChar"/>
    <w:uiPriority w:val="99"/>
    <w:unhideWhenUsed/>
    <w:rsid w:val="00C5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E2F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F54"/>
    <w:rPr>
      <w:sz w:val="20"/>
      <w:szCs w:val="20"/>
    </w:rPr>
  </w:style>
  <w:style w:type="character" w:styleId="EndnoteReference">
    <w:name w:val="endnote reference"/>
    <w:basedOn w:val="DefaultParagraphFont"/>
    <w:uiPriority w:val="99"/>
    <w:semiHidden/>
    <w:unhideWhenUsed/>
    <w:rsid w:val="008E2F54"/>
    <w:rPr>
      <w:vertAlign w:val="superscript"/>
    </w:rPr>
  </w:style>
  <w:style w:type="character" w:styleId="Hyperlink">
    <w:name w:val="Hyperlink"/>
    <w:basedOn w:val="DefaultParagraphFont"/>
    <w:uiPriority w:val="99"/>
    <w:unhideWhenUsed/>
    <w:rsid w:val="007E05A4"/>
    <w:rPr>
      <w:color w:val="0000FF" w:themeColor="hyperlink"/>
      <w:u w:val="single"/>
    </w:rPr>
  </w:style>
  <w:style w:type="paragraph" w:styleId="BalloonText">
    <w:name w:val="Balloon Text"/>
    <w:basedOn w:val="Normal"/>
    <w:link w:val="BalloonTextChar"/>
    <w:uiPriority w:val="99"/>
    <w:semiHidden/>
    <w:unhideWhenUsed/>
    <w:rsid w:val="00F3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A3"/>
    <w:rPr>
      <w:rFonts w:ascii="Tahoma" w:hAnsi="Tahoma" w:cs="Tahoma"/>
      <w:sz w:val="16"/>
      <w:szCs w:val="16"/>
    </w:rPr>
  </w:style>
  <w:style w:type="character" w:styleId="CommentReference">
    <w:name w:val="annotation reference"/>
    <w:basedOn w:val="DefaultParagraphFont"/>
    <w:uiPriority w:val="99"/>
    <w:semiHidden/>
    <w:unhideWhenUsed/>
    <w:rsid w:val="006C7DE5"/>
    <w:rPr>
      <w:sz w:val="16"/>
      <w:szCs w:val="16"/>
    </w:rPr>
  </w:style>
  <w:style w:type="paragraph" w:styleId="CommentText">
    <w:name w:val="annotation text"/>
    <w:basedOn w:val="Normal"/>
    <w:link w:val="CommentTextChar"/>
    <w:uiPriority w:val="99"/>
    <w:semiHidden/>
    <w:unhideWhenUsed/>
    <w:rsid w:val="006C7DE5"/>
    <w:pPr>
      <w:spacing w:line="240" w:lineRule="auto"/>
    </w:pPr>
    <w:rPr>
      <w:sz w:val="20"/>
      <w:szCs w:val="20"/>
    </w:rPr>
  </w:style>
  <w:style w:type="character" w:customStyle="1" w:styleId="CommentTextChar">
    <w:name w:val="Comment Text Char"/>
    <w:basedOn w:val="DefaultParagraphFont"/>
    <w:link w:val="CommentText"/>
    <w:uiPriority w:val="99"/>
    <w:semiHidden/>
    <w:rsid w:val="006C7DE5"/>
    <w:rPr>
      <w:sz w:val="20"/>
      <w:szCs w:val="20"/>
    </w:rPr>
  </w:style>
  <w:style w:type="paragraph" w:styleId="CommentSubject">
    <w:name w:val="annotation subject"/>
    <w:basedOn w:val="CommentText"/>
    <w:next w:val="CommentText"/>
    <w:link w:val="CommentSubjectChar"/>
    <w:uiPriority w:val="99"/>
    <w:semiHidden/>
    <w:unhideWhenUsed/>
    <w:rsid w:val="006C7DE5"/>
    <w:rPr>
      <w:b/>
      <w:bCs/>
    </w:rPr>
  </w:style>
  <w:style w:type="character" w:customStyle="1" w:styleId="CommentSubjectChar">
    <w:name w:val="Comment Subject Char"/>
    <w:basedOn w:val="CommentTextChar"/>
    <w:link w:val="CommentSubject"/>
    <w:uiPriority w:val="99"/>
    <w:semiHidden/>
    <w:rsid w:val="006C7DE5"/>
    <w:rPr>
      <w:b/>
      <w:bCs/>
      <w:sz w:val="20"/>
      <w:szCs w:val="20"/>
    </w:rPr>
  </w:style>
  <w:style w:type="paragraph" w:styleId="ListParagraph">
    <w:name w:val="List Paragraph"/>
    <w:basedOn w:val="Normal"/>
    <w:uiPriority w:val="34"/>
    <w:qFormat/>
    <w:rsid w:val="00EC335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FA"/>
  </w:style>
  <w:style w:type="paragraph" w:styleId="Footer">
    <w:name w:val="footer"/>
    <w:basedOn w:val="Normal"/>
    <w:link w:val="FooterChar"/>
    <w:uiPriority w:val="99"/>
    <w:unhideWhenUsed/>
    <w:rsid w:val="00C5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0570">
      <w:bodyDiv w:val="1"/>
      <w:marLeft w:val="0"/>
      <w:marRight w:val="0"/>
      <w:marTop w:val="0"/>
      <w:marBottom w:val="0"/>
      <w:divBdr>
        <w:top w:val="none" w:sz="0" w:space="0" w:color="auto"/>
        <w:left w:val="none" w:sz="0" w:space="0" w:color="auto"/>
        <w:bottom w:val="none" w:sz="0" w:space="0" w:color="auto"/>
        <w:right w:val="none" w:sz="0" w:space="0" w:color="auto"/>
      </w:divBdr>
      <w:divsChild>
        <w:div w:id="1279869964">
          <w:marLeft w:val="720"/>
          <w:marRight w:val="0"/>
          <w:marTop w:val="120"/>
          <w:marBottom w:val="120"/>
          <w:divBdr>
            <w:top w:val="none" w:sz="0" w:space="0" w:color="auto"/>
            <w:left w:val="none" w:sz="0" w:space="0" w:color="auto"/>
            <w:bottom w:val="none" w:sz="0" w:space="0" w:color="auto"/>
            <w:right w:val="none" w:sz="0" w:space="0" w:color="auto"/>
          </w:divBdr>
        </w:div>
      </w:divsChild>
    </w:div>
    <w:div w:id="473715635">
      <w:bodyDiv w:val="1"/>
      <w:marLeft w:val="0"/>
      <w:marRight w:val="0"/>
      <w:marTop w:val="0"/>
      <w:marBottom w:val="0"/>
      <w:divBdr>
        <w:top w:val="none" w:sz="0" w:space="0" w:color="auto"/>
        <w:left w:val="none" w:sz="0" w:space="0" w:color="auto"/>
        <w:bottom w:val="none" w:sz="0" w:space="0" w:color="auto"/>
        <w:right w:val="none" w:sz="0" w:space="0" w:color="auto"/>
      </w:divBdr>
    </w:div>
    <w:div w:id="629170129">
      <w:bodyDiv w:val="1"/>
      <w:marLeft w:val="0"/>
      <w:marRight w:val="0"/>
      <w:marTop w:val="0"/>
      <w:marBottom w:val="0"/>
      <w:divBdr>
        <w:top w:val="none" w:sz="0" w:space="0" w:color="auto"/>
        <w:left w:val="none" w:sz="0" w:space="0" w:color="auto"/>
        <w:bottom w:val="none" w:sz="0" w:space="0" w:color="auto"/>
        <w:right w:val="none" w:sz="0" w:space="0" w:color="auto"/>
      </w:divBdr>
      <w:divsChild>
        <w:div w:id="789671284">
          <w:marLeft w:val="720"/>
          <w:marRight w:val="0"/>
          <w:marTop w:val="120"/>
          <w:marBottom w:val="120"/>
          <w:divBdr>
            <w:top w:val="none" w:sz="0" w:space="0" w:color="auto"/>
            <w:left w:val="none" w:sz="0" w:space="0" w:color="auto"/>
            <w:bottom w:val="none" w:sz="0" w:space="0" w:color="auto"/>
            <w:right w:val="none" w:sz="0" w:space="0" w:color="auto"/>
          </w:divBdr>
        </w:div>
      </w:divsChild>
    </w:div>
    <w:div w:id="11237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nationalmssociety.org/What-is-MS/Who-Get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CDB2-FAC8-4667-8998-44B467A5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Jarnecke</dc:creator>
  <cp:lastModifiedBy>Teri Blankenship</cp:lastModifiedBy>
  <cp:revision>3</cp:revision>
  <dcterms:created xsi:type="dcterms:W3CDTF">2015-09-16T18:03:00Z</dcterms:created>
  <dcterms:modified xsi:type="dcterms:W3CDTF">2015-09-16T18:04:00Z</dcterms:modified>
</cp:coreProperties>
</file>