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000"/>
      </w:tblPr>
      <w:tblGrid>
        <w:gridCol w:w="2700"/>
        <w:gridCol w:w="2700"/>
        <w:gridCol w:w="1210"/>
        <w:gridCol w:w="4190"/>
      </w:tblGrid>
      <w:tr w:rsidR="00205D50">
        <w:trPr>
          <w:trHeight w:val="1080"/>
          <w:jc w:val="center"/>
        </w:trPr>
        <w:tc>
          <w:tcPr>
            <w:tcW w:w="5000" w:type="pct"/>
            <w:gridSpan w:val="4"/>
            <w:tcBorders>
              <w:bottom w:val="single" w:sz="4" w:space="0" w:color="008080"/>
            </w:tcBorders>
          </w:tcPr>
          <w:p w:rsidR="00205D50" w:rsidRPr="00223560" w:rsidRDefault="00205D50" w:rsidP="00E70D2E">
            <w:pPr>
              <w:pStyle w:val="Heading1"/>
            </w:pPr>
            <w:r>
              <w:t xml:space="preserve">V.E.T.S. in College Update      </w:t>
            </w:r>
            <w:r w:rsidR="002941C7">
              <w:rPr>
                <w:noProof/>
              </w:rPr>
              <w:drawing>
                <wp:inline distT="0" distB="0" distL="0" distR="0">
                  <wp:extent cx="129540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5400" cy="819150"/>
                          </a:xfrm>
                          <a:prstGeom prst="rect">
                            <a:avLst/>
                          </a:prstGeom>
                          <a:noFill/>
                          <a:ln w="9525">
                            <a:noFill/>
                            <a:miter lim="800000"/>
                            <a:headEnd/>
                            <a:tailEnd/>
                          </a:ln>
                        </pic:spPr>
                      </pic:pic>
                    </a:graphicData>
                  </a:graphic>
                </wp:inline>
              </w:drawing>
            </w:r>
            <w:r>
              <w:t xml:space="preserve"> </w:t>
            </w:r>
          </w:p>
        </w:tc>
      </w:tr>
      <w:tr w:rsidR="00205D50" w:rsidTr="00E5073D">
        <w:trPr>
          <w:trHeight w:val="314"/>
          <w:jc w:val="center"/>
        </w:trPr>
        <w:tc>
          <w:tcPr>
            <w:tcW w:w="3060" w:type="pct"/>
            <w:gridSpan w:val="3"/>
            <w:tcBorders>
              <w:top w:val="single" w:sz="4" w:space="0" w:color="008080"/>
            </w:tcBorders>
            <w:tcMar>
              <w:left w:w="288" w:type="dxa"/>
            </w:tcMar>
            <w:vAlign w:val="center"/>
          </w:tcPr>
          <w:p w:rsidR="00205D50" w:rsidRDefault="00205D50" w:rsidP="00616165">
            <w:pPr>
              <w:pStyle w:val="CompanyPhoneNumber"/>
            </w:pPr>
            <w:r>
              <w:rPr>
                <w:rStyle w:val="CompanyNameCharChar"/>
              </w:rPr>
              <w:t>VCU-RRTC</w:t>
            </w:r>
            <w:r>
              <w:t xml:space="preserve"> </w:t>
            </w:r>
          </w:p>
        </w:tc>
        <w:tc>
          <w:tcPr>
            <w:tcW w:w="1940" w:type="pct"/>
            <w:tcBorders>
              <w:top w:val="single" w:sz="4" w:space="0" w:color="008080"/>
            </w:tcBorders>
            <w:tcMar>
              <w:right w:w="288" w:type="dxa"/>
            </w:tcMar>
            <w:vAlign w:val="center"/>
          </w:tcPr>
          <w:p w:rsidR="00205D50" w:rsidRDefault="00D73128" w:rsidP="001A383B">
            <w:pPr>
              <w:pStyle w:val="VolumeDate"/>
            </w:pPr>
            <w:r>
              <w:rPr>
                <w:rStyle w:val="VolumeDateBoldChar"/>
              </w:rPr>
              <w:t>February</w:t>
            </w:r>
            <w:r w:rsidR="00205D50">
              <w:rPr>
                <w:rStyle w:val="VolumeDateBoldChar"/>
              </w:rPr>
              <w:t xml:space="preserve"> 2011</w:t>
            </w:r>
            <w:r w:rsidR="00205D50">
              <w:t xml:space="preserve">  Volume 2</w:t>
            </w:r>
          </w:p>
        </w:tc>
      </w:tr>
      <w:tr w:rsidR="00205D50" w:rsidTr="00F85FC0">
        <w:trPr>
          <w:trHeight w:val="531"/>
          <w:jc w:val="center"/>
        </w:trPr>
        <w:tc>
          <w:tcPr>
            <w:tcW w:w="1250" w:type="pct"/>
            <w:vMerge w:val="restart"/>
          </w:tcPr>
          <w:p w:rsidR="00205D50" w:rsidRDefault="00EE0AB1" w:rsidP="005109D7">
            <w:pPr>
              <w:tabs>
                <w:tab w:val="center" w:pos="1305"/>
              </w:tabs>
              <w:jc w:val="cen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43.85pt;margin-top:676.05pt;width:380.15pt;height:44.95pt;rotation:-360;z-index:251658752;mso-position-horizontal-relative:margin;mso-position-vertical-relative:margin" o:allowincell="f" adj="1739" fillcolor="#943634" strokecolor="#9bbb59" strokeweight="3pt">
                  <v:imagedata embosscolor="shadow add(51)"/>
                  <v:shadow type="emboss" color="lineOrFill darken(153)" color2="shadow add(102)" offset="1pt,1pt"/>
                  <v:textbox style="mso-next-textbox:#_x0000_s1028" inset="3.6pt,,3.6pt">
                    <w:txbxContent>
                      <w:p w:rsidR="00205D50" w:rsidRPr="0029084E" w:rsidRDefault="009A14C6" w:rsidP="0006161B">
                        <w:pPr>
                          <w:rPr>
                            <w:b/>
                            <w:color w:val="1F497D"/>
                            <w:sz w:val="24"/>
                            <w:szCs w:val="24"/>
                          </w:rPr>
                        </w:pPr>
                        <w:r w:rsidRPr="0029084E">
                          <w:rPr>
                            <w:b/>
                            <w:color w:val="1F497D"/>
                            <w:sz w:val="24"/>
                            <w:szCs w:val="24"/>
                          </w:rPr>
                          <w:t>Visit our new project website:</w:t>
                        </w:r>
                      </w:p>
                      <w:p w:rsidR="009A14C6" w:rsidRPr="0029084E" w:rsidRDefault="009A14C6" w:rsidP="0006161B">
                        <w:pPr>
                          <w:rPr>
                            <w:color w:val="1F497D"/>
                            <w:sz w:val="33"/>
                            <w:szCs w:val="33"/>
                          </w:rPr>
                        </w:pPr>
                        <w:r w:rsidRPr="0029084E">
                          <w:rPr>
                            <w:color w:val="1F497D"/>
                            <w:sz w:val="33"/>
                            <w:szCs w:val="33"/>
                          </w:rPr>
                          <w:t>http://www.worksupport.com/VETS/index.cfm</w:t>
                        </w:r>
                      </w:p>
                    </w:txbxContent>
                  </v:textbox>
                  <w10:wrap anchorx="margin" anchory="margin"/>
                </v:shape>
              </w:pict>
            </w:r>
          </w:p>
          <w:p w:rsidR="00205D50" w:rsidRDefault="002941C7" w:rsidP="005109D7">
            <w:pPr>
              <w:pStyle w:val="LCTBold"/>
              <w:framePr w:hSpace="0" w:wrap="auto" w:vAnchor="margin" w:xAlign="left" w:yAlign="inline"/>
              <w:jc w:val="center"/>
              <w:rPr>
                <w:sz w:val="20"/>
                <w:szCs w:val="20"/>
              </w:rPr>
            </w:pPr>
            <w:r>
              <w:rPr>
                <w:noProof/>
                <w:sz w:val="20"/>
                <w:szCs w:val="20"/>
              </w:rPr>
              <w:drawing>
                <wp:inline distT="0" distB="0" distL="0" distR="0">
                  <wp:extent cx="952500" cy="1238250"/>
                  <wp:effectExtent l="19050" t="0" r="0" b="0"/>
                  <wp:docPr id="2" name="Picture 2" descr="MP9004230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23055[1]"/>
                          <pic:cNvPicPr>
                            <a:picLocks noChangeAspect="1" noChangeArrowheads="1"/>
                          </pic:cNvPicPr>
                        </pic:nvPicPr>
                        <pic:blipFill>
                          <a:blip r:embed="rId9"/>
                          <a:srcRect/>
                          <a:stretch>
                            <a:fillRect/>
                          </a:stretch>
                        </pic:blipFill>
                        <pic:spPr bwMode="auto">
                          <a:xfrm>
                            <a:off x="0" y="0"/>
                            <a:ext cx="952500" cy="1238250"/>
                          </a:xfrm>
                          <a:prstGeom prst="rect">
                            <a:avLst/>
                          </a:prstGeom>
                          <a:noFill/>
                          <a:ln w="9525">
                            <a:noFill/>
                            <a:miter lim="800000"/>
                            <a:headEnd/>
                            <a:tailEnd/>
                          </a:ln>
                        </pic:spPr>
                      </pic:pic>
                    </a:graphicData>
                  </a:graphic>
                </wp:inline>
              </w:drawing>
            </w:r>
          </w:p>
          <w:p w:rsidR="00CF3020" w:rsidRDefault="00EE0AB1" w:rsidP="00E70D2E">
            <w:pPr>
              <w:pStyle w:val="LCTBold"/>
              <w:framePr w:hSpace="0" w:wrap="auto" w:vAnchor="margin" w:xAlign="left" w:yAlign="inline"/>
              <w:rPr>
                <w:sz w:val="20"/>
                <w:szCs w:val="20"/>
              </w:rPr>
            </w:pPr>
            <w:r w:rsidRPr="00EE0AB1">
              <w:rPr>
                <w:noProof/>
              </w:rPr>
              <w:pict>
                <v:shapetype id="_x0000_t202" coordsize="21600,21600" o:spt="202" path="m,l,21600r21600,l21600,xe">
                  <v:stroke joinstyle="miter"/>
                  <v:path gradientshapeok="t" o:connecttype="rect"/>
                </v:shapetype>
                <v:shape id="_x0000_s1030" type="#_x0000_t202" style="position:absolute;margin-left:0;margin-top:320.1pt;width:131.8pt;height:292.2pt;z-index:251657728;mso-position-horizontal-relative:page;mso-position-vertical-relative:page" filled="f">
                  <v:textbox style="mso-next-textbox:#_x0000_s1030">
                    <w:txbxContent>
                      <w:p w:rsidR="007E2976" w:rsidRPr="000266A6" w:rsidRDefault="00620F8F" w:rsidP="007E2976">
                        <w:pPr>
                          <w:spacing w:line="276" w:lineRule="auto"/>
                          <w:rPr>
                            <w:sz w:val="24"/>
                            <w:szCs w:val="24"/>
                          </w:rPr>
                        </w:pPr>
                        <w:r w:rsidRPr="000266A6">
                          <w:rPr>
                            <w:sz w:val="24"/>
                            <w:szCs w:val="24"/>
                          </w:rPr>
                          <w:t xml:space="preserve">Education coaches currently serve </w:t>
                        </w:r>
                      </w:p>
                      <w:p w:rsidR="00205D50" w:rsidRPr="000266A6" w:rsidRDefault="007335A5" w:rsidP="007E2976">
                        <w:pPr>
                          <w:spacing w:line="276" w:lineRule="auto"/>
                          <w:rPr>
                            <w:sz w:val="24"/>
                            <w:szCs w:val="24"/>
                          </w:rPr>
                        </w:pPr>
                        <w:r w:rsidRPr="000266A6">
                          <w:rPr>
                            <w:b/>
                            <w:sz w:val="24"/>
                            <w:szCs w:val="24"/>
                          </w:rPr>
                          <w:t>17</w:t>
                        </w:r>
                        <w:r w:rsidR="00620F8F" w:rsidRPr="000266A6">
                          <w:rPr>
                            <w:b/>
                            <w:sz w:val="24"/>
                            <w:szCs w:val="24"/>
                          </w:rPr>
                          <w:t xml:space="preserve"> active participants</w:t>
                        </w:r>
                        <w:r w:rsidR="005109D7" w:rsidRPr="000266A6">
                          <w:rPr>
                            <w:sz w:val="24"/>
                            <w:szCs w:val="24"/>
                          </w:rPr>
                          <w:t xml:space="preserve">. McGuire’s SCI Unit has referred 33% of the active participants. </w:t>
                        </w:r>
                        <w:r w:rsidR="00620F8F" w:rsidRPr="000266A6">
                          <w:rPr>
                            <w:sz w:val="24"/>
                            <w:szCs w:val="24"/>
                          </w:rPr>
                          <w:t xml:space="preserve">Each veteran works with a primary and secondary education coach to plan and support a successful transition and experience in postsecondary education. </w:t>
                        </w:r>
                      </w:p>
                    </w:txbxContent>
                  </v:textbox>
                  <w10:wrap anchorx="page" anchory="page"/>
                </v:shape>
              </w:pict>
            </w:r>
          </w:p>
          <w:p w:rsidR="00205D50" w:rsidRDefault="00205D50" w:rsidP="00E70D2E">
            <w:pPr>
              <w:pStyle w:val="LCTBold"/>
              <w:framePr w:hSpace="0" w:wrap="auto" w:vAnchor="margin" w:xAlign="left" w:yAlign="inline"/>
              <w:rPr>
                <w:sz w:val="20"/>
                <w:szCs w:val="20"/>
              </w:rPr>
            </w:pPr>
            <w:r w:rsidRPr="009D473F">
              <w:rPr>
                <w:sz w:val="20"/>
                <w:szCs w:val="20"/>
              </w:rPr>
              <w:t xml:space="preserve"> </w:t>
            </w:r>
          </w:p>
          <w:p w:rsidR="00205D50" w:rsidRPr="009D473F" w:rsidRDefault="00205D50" w:rsidP="00E70D2E">
            <w:pPr>
              <w:pStyle w:val="LCTBold"/>
              <w:framePr w:hSpace="0" w:wrap="auto" w:vAnchor="margin" w:xAlign="left" w:yAlign="inline"/>
              <w:rPr>
                <w:sz w:val="20"/>
                <w:szCs w:val="20"/>
              </w:rPr>
            </w:pPr>
          </w:p>
          <w:p w:rsidR="00205D50" w:rsidRDefault="00EE0AB1" w:rsidP="00834094">
            <w:pPr>
              <w:tabs>
                <w:tab w:val="center" w:pos="1305"/>
              </w:tabs>
            </w:pPr>
            <w:r>
              <w:rPr>
                <w:noProof/>
              </w:rPr>
              <w:pict>
                <v:shape id="_x0000_s1029" type="#_x0000_t202" style="position:absolute;margin-left:0;margin-top:0;width:121.3pt;height:225.7pt;z-index:251656704;mso-position-horizontal:left;mso-position-horizontal-relative:margin;mso-position-vertical:top;mso-position-vertical-relative:margin" filled="f" stroked="f">
                  <v:textbox style="mso-next-textbox:#_x0000_s1029;mso-fit-shape-to-text:t">
                    <w:txbxContent>
                      <w:p w:rsidR="00205D50" w:rsidRPr="004A760A" w:rsidRDefault="00205D50" w:rsidP="0064405A">
                        <w:pPr>
                          <w:pStyle w:val="BodyText"/>
                          <w:jc w:val="left"/>
                        </w:pPr>
                        <w:r w:rsidRPr="001F1316">
                          <w:rPr>
                            <w:sz w:val="20"/>
                            <w:szCs w:val="20"/>
                          </w:rPr>
                          <w:t>Virginia Commonwealth University-RRTC, a</w:t>
                        </w:r>
                        <w:r w:rsidRPr="00AD31C9">
                          <w:rPr>
                            <w:sz w:val="20"/>
                            <w:szCs w:val="20"/>
                          </w:rPr>
                          <w:t xml:space="preserve"> grantee of the </w:t>
                        </w:r>
                        <w:smartTag w:uri="urn:schemas-microsoft-com:office:smarttags" w:element="stockticker">
                          <w:r w:rsidRPr="00AD31C9">
                            <w:rPr>
                              <w:sz w:val="20"/>
                              <w:szCs w:val="20"/>
                            </w:rPr>
                            <w:t>CNI</w:t>
                          </w:r>
                        </w:smartTag>
                        <w:r w:rsidRPr="00AD31C9">
                          <w:rPr>
                            <w:sz w:val="20"/>
                            <w:szCs w:val="20"/>
                          </w:rPr>
                          <w:t xml:space="preserve"> Trust Fund</w:t>
                        </w:r>
                        <w:r>
                          <w:rPr>
                            <w:sz w:val="20"/>
                            <w:szCs w:val="20"/>
                          </w:rPr>
                          <w:t xml:space="preserve"> (#10-176)</w:t>
                        </w:r>
                        <w:r w:rsidRPr="00AD31C9">
                          <w:rPr>
                            <w:sz w:val="20"/>
                            <w:szCs w:val="20"/>
                          </w:rPr>
                          <w:t>, is an equal opportunity/affirmative action institution providing access to education and employment without regard to age, race, color, national origin, gender, religion, sexual orientation, veteran’s status, political affiliation or disability.</w:t>
                        </w:r>
                      </w:p>
                    </w:txbxContent>
                  </v:textbox>
                  <w10:wrap type="square" anchorx="margin" anchory="margin"/>
                </v:shape>
              </w:pict>
            </w:r>
          </w:p>
        </w:tc>
        <w:tc>
          <w:tcPr>
            <w:tcW w:w="3750" w:type="pct"/>
            <w:gridSpan w:val="3"/>
          </w:tcPr>
          <w:p w:rsidR="00205D50" w:rsidRPr="00F92737" w:rsidRDefault="00205D50" w:rsidP="00F92737">
            <w:pPr>
              <w:pStyle w:val="Heading2"/>
              <w:spacing w:before="0"/>
              <w:ind w:left="0"/>
              <w:rPr>
                <w:sz w:val="24"/>
                <w:szCs w:val="24"/>
              </w:rPr>
            </w:pPr>
            <w:r>
              <w:t xml:space="preserve"> </w:t>
            </w:r>
            <w:r w:rsidR="00F85FC0">
              <w:t>Motorcycles &amp; t</w:t>
            </w:r>
            <w:r w:rsidR="000266A6">
              <w:t>he Military</w:t>
            </w:r>
          </w:p>
        </w:tc>
      </w:tr>
      <w:tr w:rsidR="00205D50" w:rsidTr="00CD79A2">
        <w:trPr>
          <w:trHeight w:val="7281"/>
          <w:jc w:val="center"/>
        </w:trPr>
        <w:tc>
          <w:tcPr>
            <w:tcW w:w="1250" w:type="pct"/>
            <w:vMerge/>
          </w:tcPr>
          <w:p w:rsidR="00205D50" w:rsidRDefault="00205D50" w:rsidP="00667B70"/>
        </w:tc>
        <w:tc>
          <w:tcPr>
            <w:tcW w:w="3750" w:type="pct"/>
            <w:gridSpan w:val="3"/>
          </w:tcPr>
          <w:p w:rsidR="00DB457C" w:rsidRDefault="00F85FC0" w:rsidP="00F85FC0">
            <w:pPr>
              <w:ind w:firstLine="540"/>
              <w:rPr>
                <w:sz w:val="18"/>
                <w:szCs w:val="18"/>
              </w:rPr>
            </w:pPr>
            <w:r w:rsidRPr="00CD79A2">
              <w:rPr>
                <w:sz w:val="18"/>
                <w:szCs w:val="18"/>
              </w:rPr>
              <w:t xml:space="preserve">High adrenaline situations are part of the military experience. Off-duty, service members sometimes try to replicate that experience on the back of a motorcycle like a Suzuki Katana or a Triumph Thunderbird. Four of the seventeen active participants enrolled in the </w:t>
            </w:r>
            <w:r w:rsidR="00DB457C">
              <w:rPr>
                <w:sz w:val="18"/>
                <w:szCs w:val="18"/>
              </w:rPr>
              <w:t>VCU-RRTC</w:t>
            </w:r>
          </w:p>
          <w:p w:rsidR="00F85FC0" w:rsidRPr="00CD79A2" w:rsidRDefault="00DB457C" w:rsidP="00DB457C">
            <w:pPr>
              <w:rPr>
                <w:sz w:val="18"/>
                <w:szCs w:val="18"/>
              </w:rPr>
            </w:pPr>
            <w:r>
              <w:rPr>
                <w:sz w:val="18"/>
                <w:szCs w:val="18"/>
              </w:rPr>
              <w:t>Veterans Education and Transition Supports (</w:t>
            </w:r>
            <w:r w:rsidR="00F85FC0" w:rsidRPr="00CD79A2">
              <w:rPr>
                <w:sz w:val="18"/>
                <w:szCs w:val="18"/>
              </w:rPr>
              <w:t>V.E.T.S.</w:t>
            </w:r>
            <w:r>
              <w:rPr>
                <w:sz w:val="18"/>
                <w:szCs w:val="18"/>
              </w:rPr>
              <w:t>)</w:t>
            </w:r>
            <w:r w:rsidR="00F85FC0" w:rsidRPr="00CD79A2">
              <w:rPr>
                <w:sz w:val="18"/>
                <w:szCs w:val="18"/>
              </w:rPr>
              <w:t xml:space="preserve"> in College program have sustained spinal cord injury (SCI) and/or traumatic brain injury (TBI) as a result of a motorcycle accident. </w:t>
            </w:r>
          </w:p>
          <w:p w:rsidR="00F85FC0" w:rsidRPr="00CD79A2" w:rsidRDefault="00F85FC0" w:rsidP="00F85FC0">
            <w:pPr>
              <w:ind w:firstLine="540"/>
              <w:rPr>
                <w:sz w:val="18"/>
                <w:szCs w:val="18"/>
              </w:rPr>
            </w:pPr>
            <w:r w:rsidRPr="00CD79A2">
              <w:rPr>
                <w:sz w:val="18"/>
                <w:szCs w:val="18"/>
              </w:rPr>
              <w:t xml:space="preserve">Overall, military researchers counted 4,901 motorcycle deaths and injuries among all active duty service members from 1998 to 2008.* The Marines reported the highest rate of accidents with over four out of every 10,000 service members involved in a motorcycle accident. The Navy and Army reported the second and third highest incidences of motorcycle-related accidents respectively.  Although each branch implements its own safety initiative to combat motorcycle-related accidents and even death, the lasting effects of such an injury can be life-changing. </w:t>
            </w:r>
          </w:p>
          <w:p w:rsidR="00CD79A2" w:rsidRPr="00CD79A2" w:rsidRDefault="00F85FC0" w:rsidP="00CD79A2">
            <w:pPr>
              <w:ind w:firstLine="540"/>
              <w:rPr>
                <w:sz w:val="18"/>
                <w:szCs w:val="18"/>
              </w:rPr>
            </w:pPr>
            <w:r w:rsidRPr="00CD79A2">
              <w:rPr>
                <w:sz w:val="18"/>
                <w:szCs w:val="18"/>
              </w:rPr>
              <w:t xml:space="preserve">A motorcycle accident in 2009 forced Joe Tracy** to leave the military after over 16 years of active duty service. Along with the profound effects of a SCI, the impact of a TBI proved equally challenging. While accommodations such as a modified work space and reach extenders helped Joe perform his duties in an office position, his short-term memory and processing skills posed </w:t>
            </w:r>
            <w:r w:rsidR="000D761F">
              <w:rPr>
                <w:sz w:val="18"/>
                <w:szCs w:val="18"/>
              </w:rPr>
              <w:t>new</w:t>
            </w:r>
            <w:r w:rsidRPr="00CD79A2">
              <w:rPr>
                <w:sz w:val="18"/>
                <w:szCs w:val="18"/>
              </w:rPr>
              <w:t xml:space="preserve"> obstacle</w:t>
            </w:r>
            <w:r w:rsidR="000D761F">
              <w:rPr>
                <w:sz w:val="18"/>
                <w:szCs w:val="18"/>
              </w:rPr>
              <w:t>s</w:t>
            </w:r>
            <w:r w:rsidRPr="00CD79A2">
              <w:rPr>
                <w:sz w:val="18"/>
                <w:szCs w:val="18"/>
              </w:rPr>
              <w:t xml:space="preserve"> when he decided to return to college. Although he had completed several college credits prior to his injury, he found that the cognitive challenges that he experienced due to his TBI made returning to college much more difficult than he had anticipated. When he first met with his V.E.T.S. in College education coach, Joe was already failing the one course he was taking at a local community college. Joe planned on transferring his community college credits to a state university when he finished, but </w:t>
            </w:r>
            <w:r w:rsidR="000D761F">
              <w:rPr>
                <w:sz w:val="18"/>
                <w:szCs w:val="18"/>
              </w:rPr>
              <w:t xml:space="preserve">repeating coursework could delay completion of his degree and place his </w:t>
            </w:r>
            <w:r w:rsidRPr="00CD79A2">
              <w:rPr>
                <w:sz w:val="18"/>
                <w:szCs w:val="18"/>
              </w:rPr>
              <w:t xml:space="preserve">GI Bill benefits </w:t>
            </w:r>
            <w:r w:rsidR="000D761F">
              <w:rPr>
                <w:sz w:val="18"/>
                <w:szCs w:val="18"/>
              </w:rPr>
              <w:t>at risk.</w:t>
            </w:r>
            <w:r w:rsidRPr="00CD79A2">
              <w:rPr>
                <w:sz w:val="18"/>
                <w:szCs w:val="18"/>
              </w:rPr>
              <w:t xml:space="preserve"> </w:t>
            </w:r>
          </w:p>
          <w:p w:rsidR="00F85FC0" w:rsidRPr="00CD79A2" w:rsidRDefault="00F85FC0" w:rsidP="000E1CFE">
            <w:pPr>
              <w:ind w:firstLine="540"/>
              <w:rPr>
                <w:sz w:val="17"/>
                <w:szCs w:val="17"/>
              </w:rPr>
            </w:pPr>
            <w:r w:rsidRPr="00CD79A2">
              <w:rPr>
                <w:sz w:val="18"/>
                <w:szCs w:val="18"/>
              </w:rPr>
              <w:t xml:space="preserve">Christine Grauer, Joe's primary education coach, </w:t>
            </w:r>
            <w:r w:rsidR="007B23A9">
              <w:rPr>
                <w:sz w:val="18"/>
                <w:szCs w:val="18"/>
              </w:rPr>
              <w:t xml:space="preserve">encouraged </w:t>
            </w:r>
            <w:r w:rsidRPr="00CD79A2">
              <w:rPr>
                <w:sz w:val="18"/>
                <w:szCs w:val="18"/>
              </w:rPr>
              <w:t xml:space="preserve">Joe to use the academic accommodations he was determined eligible </w:t>
            </w:r>
            <w:r w:rsidR="001050EE">
              <w:rPr>
                <w:sz w:val="18"/>
                <w:szCs w:val="18"/>
              </w:rPr>
              <w:t xml:space="preserve">for </w:t>
            </w:r>
            <w:r w:rsidRPr="00CD79A2">
              <w:rPr>
                <w:sz w:val="18"/>
                <w:szCs w:val="18"/>
              </w:rPr>
              <w:t>through the college’s Disability Support Services office. "We've worked with Joe to incorporate assistive technology into his coursework so that he can compensate for his memory challenges by using devices such as an audio recording pen.  We have also helped Joe to develop study strategies that he can use when he's at home preparing for tests," Grauer said. "We just started working with Joe, but we're optimistic that he will be successful because he's learned to make use of accessible study spaces on campus and reading software which helps with his cognitive processing." Grauer said she believes Joe can eventually complete his Bachelor’s degree within the time allotted by Post 9/11 GI Bill because he will be able to increase his course</w:t>
            </w:r>
            <w:r w:rsidR="00FA2028">
              <w:rPr>
                <w:sz w:val="18"/>
                <w:szCs w:val="18"/>
              </w:rPr>
              <w:t xml:space="preserve"> </w:t>
            </w:r>
            <w:r w:rsidRPr="00CD79A2">
              <w:rPr>
                <w:sz w:val="18"/>
                <w:szCs w:val="18"/>
              </w:rPr>
              <w:t>load as he adjusts to the demands of higher education.</w:t>
            </w:r>
          </w:p>
          <w:p w:rsidR="00A075A3" w:rsidRPr="00E5073D" w:rsidRDefault="00A075A3" w:rsidP="00A075A3">
            <w:pPr>
              <w:rPr>
                <w:sz w:val="12"/>
                <w:szCs w:val="12"/>
              </w:rPr>
            </w:pPr>
            <w:r w:rsidRPr="00E5073D">
              <w:rPr>
                <w:sz w:val="12"/>
                <w:szCs w:val="12"/>
              </w:rPr>
              <w:t>*http://www.armytimes.com/news/2009/07/military_motorcycle_accidents_deaths_070609w/</w:t>
            </w:r>
          </w:p>
          <w:p w:rsidR="00A075A3" w:rsidRPr="00A075A3" w:rsidRDefault="00A075A3" w:rsidP="00EA664E">
            <w:r w:rsidRPr="00E5073D">
              <w:rPr>
                <w:sz w:val="12"/>
                <w:szCs w:val="12"/>
              </w:rPr>
              <w:t>** Profile composed from aggregate data</w:t>
            </w:r>
          </w:p>
        </w:tc>
      </w:tr>
      <w:tr w:rsidR="00205D50" w:rsidTr="00CD79A2">
        <w:trPr>
          <w:trHeight w:val="450"/>
          <w:jc w:val="center"/>
        </w:trPr>
        <w:tc>
          <w:tcPr>
            <w:tcW w:w="1250" w:type="pct"/>
            <w:vMerge/>
          </w:tcPr>
          <w:p w:rsidR="00205D50" w:rsidRDefault="00205D50" w:rsidP="00667B70"/>
        </w:tc>
        <w:tc>
          <w:tcPr>
            <w:tcW w:w="1250" w:type="pct"/>
          </w:tcPr>
          <w:p w:rsidR="00205D50" w:rsidRPr="006A7A1E" w:rsidRDefault="000266A6" w:rsidP="000266A6">
            <w:pPr>
              <w:pStyle w:val="Heading2"/>
              <w:spacing w:before="0" w:after="0"/>
              <w:ind w:left="0"/>
            </w:pPr>
            <w:r w:rsidRPr="000266A6">
              <w:t>Updates</w:t>
            </w:r>
          </w:p>
        </w:tc>
        <w:tc>
          <w:tcPr>
            <w:tcW w:w="2500" w:type="pct"/>
            <w:gridSpan w:val="2"/>
          </w:tcPr>
          <w:p w:rsidR="00205D50" w:rsidRDefault="000266A6" w:rsidP="000266A6">
            <w:pPr>
              <w:pStyle w:val="Heading2"/>
              <w:spacing w:before="0" w:after="0"/>
              <w:ind w:left="0"/>
            </w:pPr>
            <w:r w:rsidRPr="000266A6">
              <w:t>Referral Sources</w:t>
            </w:r>
          </w:p>
        </w:tc>
      </w:tr>
      <w:tr w:rsidR="00205D50" w:rsidTr="00CD79A2">
        <w:trPr>
          <w:trHeight w:val="4032"/>
          <w:jc w:val="center"/>
        </w:trPr>
        <w:tc>
          <w:tcPr>
            <w:tcW w:w="1250" w:type="pct"/>
            <w:vMerge/>
          </w:tcPr>
          <w:p w:rsidR="00205D50" w:rsidRDefault="00205D50" w:rsidP="00667B70"/>
        </w:tc>
        <w:tc>
          <w:tcPr>
            <w:tcW w:w="1250" w:type="pct"/>
          </w:tcPr>
          <w:p w:rsidR="00CD79A2" w:rsidRDefault="00CD79A2" w:rsidP="00CD79A2">
            <w:pPr>
              <w:spacing w:line="276" w:lineRule="auto"/>
              <w:ind w:left="360"/>
              <w:rPr>
                <w:sz w:val="18"/>
                <w:szCs w:val="18"/>
              </w:rPr>
            </w:pPr>
          </w:p>
          <w:p w:rsidR="000266A6" w:rsidRPr="00F85FC0" w:rsidRDefault="00F85FC0" w:rsidP="000266A6">
            <w:pPr>
              <w:numPr>
                <w:ilvl w:val="0"/>
                <w:numId w:val="4"/>
              </w:numPr>
              <w:spacing w:line="276" w:lineRule="auto"/>
              <w:ind w:left="360"/>
              <w:rPr>
                <w:sz w:val="18"/>
                <w:szCs w:val="18"/>
              </w:rPr>
            </w:pPr>
            <w:r w:rsidRPr="00F85FC0">
              <w:rPr>
                <w:sz w:val="18"/>
                <w:szCs w:val="18"/>
              </w:rPr>
              <w:t>VCU &amp; McGuire</w:t>
            </w:r>
            <w:r w:rsidR="000266A6" w:rsidRPr="00F85FC0">
              <w:rPr>
                <w:sz w:val="18"/>
                <w:szCs w:val="18"/>
              </w:rPr>
              <w:t xml:space="preserve"> IRB approved V.E.T.S. in College for another year. </w:t>
            </w:r>
          </w:p>
          <w:p w:rsidR="000266A6" w:rsidRPr="00F85FC0" w:rsidRDefault="000266A6" w:rsidP="000266A6">
            <w:pPr>
              <w:numPr>
                <w:ilvl w:val="0"/>
                <w:numId w:val="4"/>
              </w:numPr>
              <w:spacing w:line="276" w:lineRule="auto"/>
              <w:ind w:left="360"/>
              <w:rPr>
                <w:sz w:val="18"/>
                <w:szCs w:val="18"/>
              </w:rPr>
            </w:pPr>
            <w:r w:rsidRPr="00F85FC0">
              <w:rPr>
                <w:sz w:val="18"/>
                <w:szCs w:val="18"/>
              </w:rPr>
              <w:t xml:space="preserve">The program is </w:t>
            </w:r>
            <w:r w:rsidRPr="00F85FC0">
              <w:rPr>
                <w:b/>
                <w:sz w:val="18"/>
                <w:szCs w:val="18"/>
              </w:rPr>
              <w:t>still recruiting student veterans</w:t>
            </w:r>
            <w:r w:rsidRPr="00F85FC0">
              <w:rPr>
                <w:sz w:val="18"/>
                <w:szCs w:val="18"/>
              </w:rPr>
              <w:t xml:space="preserve"> who may be in need of educational coaching. </w:t>
            </w:r>
          </w:p>
          <w:p w:rsidR="00CD79A2" w:rsidRPr="00F85FC0" w:rsidRDefault="000266A6" w:rsidP="00CD79A2">
            <w:pPr>
              <w:numPr>
                <w:ilvl w:val="0"/>
                <w:numId w:val="4"/>
              </w:numPr>
              <w:spacing w:line="276" w:lineRule="auto"/>
              <w:ind w:left="360"/>
              <w:rPr>
                <w:sz w:val="18"/>
                <w:szCs w:val="18"/>
              </w:rPr>
            </w:pPr>
            <w:r w:rsidRPr="00CD79A2">
              <w:rPr>
                <w:sz w:val="18"/>
                <w:szCs w:val="18"/>
              </w:rPr>
              <w:t xml:space="preserve">The advisory committee will meet next on </w:t>
            </w:r>
            <w:r w:rsidRPr="00CD79A2">
              <w:rPr>
                <w:b/>
                <w:sz w:val="18"/>
                <w:szCs w:val="18"/>
              </w:rPr>
              <w:t>Monday, April 25</w:t>
            </w:r>
          </w:p>
        </w:tc>
        <w:tc>
          <w:tcPr>
            <w:tcW w:w="2500" w:type="pct"/>
            <w:gridSpan w:val="2"/>
          </w:tcPr>
          <w:p w:rsidR="000266A6" w:rsidRPr="00F85FC0" w:rsidRDefault="000266A6" w:rsidP="000266A6">
            <w:pPr>
              <w:rPr>
                <w:sz w:val="18"/>
                <w:szCs w:val="18"/>
              </w:rPr>
            </w:pPr>
            <w:r w:rsidRPr="00F85FC0">
              <w:rPr>
                <w:sz w:val="18"/>
                <w:szCs w:val="18"/>
              </w:rPr>
              <w:t>J. Sargeant Reynolds’ Student Accommodations…………1</w:t>
            </w:r>
          </w:p>
          <w:p w:rsidR="000266A6" w:rsidRPr="00F85FC0" w:rsidRDefault="000266A6" w:rsidP="000266A6">
            <w:pPr>
              <w:spacing w:line="360" w:lineRule="auto"/>
              <w:rPr>
                <w:sz w:val="18"/>
                <w:szCs w:val="18"/>
              </w:rPr>
            </w:pPr>
            <w:r w:rsidRPr="00F85FC0">
              <w:rPr>
                <w:sz w:val="18"/>
                <w:szCs w:val="18"/>
              </w:rPr>
              <w:t>Virginia Wounded Warriors Program………………..………..1</w:t>
            </w:r>
          </w:p>
          <w:p w:rsidR="000266A6" w:rsidRPr="00F85FC0" w:rsidRDefault="000266A6" w:rsidP="000266A6">
            <w:pPr>
              <w:spacing w:line="360" w:lineRule="auto"/>
              <w:rPr>
                <w:sz w:val="18"/>
                <w:szCs w:val="18"/>
              </w:rPr>
            </w:pPr>
            <w:r w:rsidRPr="00F85FC0">
              <w:rPr>
                <w:sz w:val="18"/>
                <w:szCs w:val="18"/>
              </w:rPr>
              <w:t>McGuire Mental Health.………………………</w:t>
            </w:r>
            <w:r w:rsidR="00FD3F55">
              <w:rPr>
                <w:sz w:val="18"/>
                <w:szCs w:val="18"/>
              </w:rPr>
              <w:t>.</w:t>
            </w:r>
            <w:r w:rsidRPr="00F85FC0">
              <w:rPr>
                <w:sz w:val="18"/>
                <w:szCs w:val="18"/>
              </w:rPr>
              <w:t>…….………………1</w:t>
            </w:r>
          </w:p>
          <w:p w:rsidR="000266A6" w:rsidRPr="00F85FC0" w:rsidRDefault="000266A6" w:rsidP="000266A6">
            <w:pPr>
              <w:spacing w:line="360" w:lineRule="auto"/>
              <w:rPr>
                <w:sz w:val="18"/>
                <w:szCs w:val="18"/>
              </w:rPr>
            </w:pPr>
            <w:r w:rsidRPr="00F85FC0">
              <w:rPr>
                <w:sz w:val="18"/>
                <w:szCs w:val="18"/>
              </w:rPr>
              <w:t>DC VAMC Mental Health.…….……………………</w:t>
            </w:r>
            <w:r w:rsidR="00FD3F55">
              <w:rPr>
                <w:sz w:val="18"/>
                <w:szCs w:val="18"/>
              </w:rPr>
              <w:t>.</w:t>
            </w:r>
            <w:r w:rsidRPr="00F85FC0">
              <w:rPr>
                <w:sz w:val="18"/>
                <w:szCs w:val="18"/>
              </w:rPr>
              <w:t>……………….2</w:t>
            </w:r>
          </w:p>
          <w:p w:rsidR="000266A6" w:rsidRPr="00F85FC0" w:rsidRDefault="000266A6" w:rsidP="000266A6">
            <w:pPr>
              <w:spacing w:line="360" w:lineRule="auto"/>
              <w:rPr>
                <w:sz w:val="18"/>
                <w:szCs w:val="18"/>
              </w:rPr>
            </w:pPr>
            <w:r w:rsidRPr="00F85FC0">
              <w:rPr>
                <w:sz w:val="18"/>
                <w:szCs w:val="18"/>
              </w:rPr>
              <w:t>McGuire OEF/OIF Program.…………………….…</w:t>
            </w:r>
            <w:r w:rsidR="00FD3F55">
              <w:rPr>
                <w:sz w:val="18"/>
                <w:szCs w:val="18"/>
              </w:rPr>
              <w:t>.</w:t>
            </w:r>
            <w:r w:rsidRPr="00F85FC0">
              <w:rPr>
                <w:sz w:val="18"/>
                <w:szCs w:val="18"/>
              </w:rPr>
              <w:t>……………..2</w:t>
            </w:r>
          </w:p>
          <w:p w:rsidR="000266A6" w:rsidRPr="00F85FC0" w:rsidRDefault="000266A6" w:rsidP="000266A6">
            <w:pPr>
              <w:spacing w:line="360" w:lineRule="auto"/>
              <w:rPr>
                <w:sz w:val="18"/>
                <w:szCs w:val="18"/>
              </w:rPr>
            </w:pPr>
            <w:r w:rsidRPr="00F85FC0">
              <w:rPr>
                <w:sz w:val="18"/>
                <w:szCs w:val="18"/>
              </w:rPr>
              <w:t>McGuire Polytrauma Inpatient Unit…………………………….3</w:t>
            </w:r>
          </w:p>
          <w:p w:rsidR="000266A6" w:rsidRPr="00F85FC0" w:rsidRDefault="000266A6" w:rsidP="000266A6">
            <w:pPr>
              <w:spacing w:line="360" w:lineRule="auto"/>
              <w:rPr>
                <w:sz w:val="18"/>
                <w:szCs w:val="18"/>
              </w:rPr>
            </w:pPr>
            <w:r w:rsidRPr="00F85FC0">
              <w:rPr>
                <w:sz w:val="18"/>
                <w:szCs w:val="18"/>
              </w:rPr>
              <w:t>McGuire  PTRP ………………………………</w:t>
            </w:r>
            <w:r w:rsidR="00FD3F55">
              <w:rPr>
                <w:sz w:val="18"/>
                <w:szCs w:val="18"/>
              </w:rPr>
              <w:t>..</w:t>
            </w:r>
            <w:r w:rsidRPr="00F85FC0">
              <w:rPr>
                <w:sz w:val="18"/>
                <w:szCs w:val="18"/>
              </w:rPr>
              <w:t>……..………………..7</w:t>
            </w:r>
          </w:p>
          <w:p w:rsidR="000266A6" w:rsidRPr="00F85FC0" w:rsidRDefault="000266A6" w:rsidP="000266A6">
            <w:pPr>
              <w:spacing w:line="360" w:lineRule="auto"/>
              <w:rPr>
                <w:sz w:val="18"/>
                <w:szCs w:val="18"/>
              </w:rPr>
            </w:pPr>
            <w:r w:rsidRPr="00F85FC0">
              <w:rPr>
                <w:sz w:val="18"/>
                <w:szCs w:val="18"/>
              </w:rPr>
              <w:t>McGuire Polytrauma Outpatient Unit ..…………………..…11</w:t>
            </w:r>
          </w:p>
          <w:p w:rsidR="000266A6" w:rsidRPr="00F85FC0" w:rsidRDefault="000266A6" w:rsidP="000266A6">
            <w:pPr>
              <w:spacing w:line="360" w:lineRule="auto"/>
              <w:rPr>
                <w:sz w:val="18"/>
                <w:szCs w:val="18"/>
              </w:rPr>
            </w:pPr>
            <w:r w:rsidRPr="00F85FC0">
              <w:rPr>
                <w:sz w:val="18"/>
                <w:szCs w:val="18"/>
              </w:rPr>
              <w:t>McGuire SCI Unit ……………………………….………………..…29</w:t>
            </w:r>
          </w:p>
          <w:p w:rsidR="000266A6" w:rsidRPr="00F85FC0" w:rsidRDefault="000266A6" w:rsidP="000266A6">
            <w:pPr>
              <w:spacing w:line="360" w:lineRule="auto"/>
              <w:rPr>
                <w:sz w:val="18"/>
                <w:szCs w:val="18"/>
              </w:rPr>
            </w:pPr>
            <w:r w:rsidRPr="00F85FC0">
              <w:rPr>
                <w:sz w:val="18"/>
                <w:szCs w:val="18"/>
              </w:rPr>
              <w:t>Other…………………….……………………………………………..…3</w:t>
            </w:r>
          </w:p>
          <w:p w:rsidR="00205D50" w:rsidRPr="00F85FC0" w:rsidRDefault="000266A6" w:rsidP="00CD79A2">
            <w:pPr>
              <w:spacing w:line="360" w:lineRule="auto"/>
              <w:rPr>
                <w:color w:val="1F497D" w:themeColor="text2"/>
                <w:sz w:val="18"/>
                <w:szCs w:val="18"/>
              </w:rPr>
            </w:pPr>
            <w:r w:rsidRPr="00F85FC0">
              <w:rPr>
                <w:sz w:val="18"/>
                <w:szCs w:val="18"/>
              </w:rPr>
              <w:t>Total referrals to date……………………………………………..60</w:t>
            </w:r>
          </w:p>
        </w:tc>
      </w:tr>
    </w:tbl>
    <w:p w:rsidR="00205D50" w:rsidRDefault="00205D50" w:rsidP="00FF216B"/>
    <w:sectPr w:rsidR="00205D50" w:rsidSect="00365335">
      <w:headerReference w:type="even" r:id="rId10"/>
      <w:headerReference w:type="default" r:id="rId11"/>
      <w:headerReference w:type="first" r:id="rId12"/>
      <w:footerReference w:type="first" r:id="rId13"/>
      <w:pgSz w:w="12240" w:h="15840" w:code="1"/>
      <w:pgMar w:top="720" w:right="720" w:bottom="720" w:left="720" w:header="0" w:footer="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7EB" w:rsidRDefault="00D657EB">
      <w:r>
        <w:separator/>
      </w:r>
    </w:p>
  </w:endnote>
  <w:endnote w:type="continuationSeparator" w:id="0">
    <w:p w:rsidR="00D657EB" w:rsidRDefault="00D65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50" w:rsidRDefault="00205D50">
    <w:pPr>
      <w:pStyle w:val="Footer"/>
    </w:pPr>
    <w:smartTag w:uri="urn:schemas-microsoft-com:office:smarttags" w:element="place">
      <w:smartTag w:uri="urn:schemas-microsoft-com:office:smarttags" w:element="PlaceName">
        <w:r>
          <w:t>Virginia</w:t>
        </w:r>
      </w:smartTag>
      <w:r>
        <w:t xml:space="preserve"> </w:t>
      </w:r>
      <w:smartTag w:uri="urn:schemas-microsoft-com:office:smarttags" w:element="PlaceName">
        <w:r>
          <w:t>Commonwealth</w:t>
        </w:r>
      </w:smartTag>
      <w:r>
        <w:t xml:space="preserve"> </w:t>
      </w:r>
      <w:smartTag w:uri="urn:schemas-microsoft-com:office:smarttags" w:element="PlaceType">
        <w:r>
          <w:t>University</w:t>
        </w:r>
      </w:smartTag>
    </w:smartTag>
    <w:r>
      <w:t>, RRTC, 1314 W. Main St. P.O. Box 842011, Richmond, VA 23284-2011, 804-828-1851, fax 804-828-2193 www.worksupport.com</w:t>
    </w:r>
  </w:p>
  <w:p w:rsidR="00205D50" w:rsidRDefault="00205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7EB" w:rsidRDefault="00D657EB">
      <w:r>
        <w:separator/>
      </w:r>
    </w:p>
  </w:footnote>
  <w:footnote w:type="continuationSeparator" w:id="0">
    <w:p w:rsidR="00D657EB" w:rsidRDefault="00D65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50" w:rsidRDefault="00205D50" w:rsidP="00DC241C">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50" w:rsidRDefault="00EE0AB1" w:rsidP="002509B2">
    <w:pPr>
      <w:ind w:right="360" w:firstLine="360"/>
    </w:pPr>
    <w:r>
      <w:rPr>
        <w:noProof/>
      </w:rPr>
      <w:pict>
        <v:shapetype id="_x0000_t202" coordsize="21600,21600" o:spt="202" path="m,l,21600r21600,l21600,xe">
          <v:stroke joinstyle="miter"/>
          <v:path gradientshapeok="t" o:connecttype="rect"/>
        </v:shapetype>
        <v:shape id="_x0000_s2050" type="#_x0000_t202" style="position:absolute;left:0;text-align:left;margin-left:540pt;margin-top:51.85pt;width:27.65pt;height:24.3pt;z-index:251657728;mso-position-horizontal-relative:page;mso-position-vertical-relative:page" filled="f" stroked="f">
          <v:textbox style="mso-next-textbox:#_x0000_s2050">
            <w:txbxContent>
              <w:p w:rsidR="00205D50" w:rsidRDefault="00EE0AB1" w:rsidP="00C876E7">
                <w:pPr>
                  <w:pStyle w:val="AllCaps"/>
                </w:pPr>
                <w:fldSimple w:instr="PAGE  ">
                  <w:r w:rsidR="000266A6">
                    <w:rPr>
                      <w:noProof/>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50" w:rsidRDefault="00205D50" w:rsidP="00462A64">
    <w:pPr>
      <w:tabs>
        <w:tab w:val="left" w:pos="87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DC3"/>
    <w:multiLevelType w:val="hybridMultilevel"/>
    <w:tmpl w:val="D29C34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F3D2CBE"/>
    <w:multiLevelType w:val="hybridMultilevel"/>
    <w:tmpl w:val="1E5287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FE11346"/>
    <w:multiLevelType w:val="hybridMultilevel"/>
    <w:tmpl w:val="0D6C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E7EA4"/>
    <w:multiLevelType w:val="hybridMultilevel"/>
    <w:tmpl w:val="749E2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drawingGridHorizontalSpacing w:val="80"/>
  <w:displayHorizontalDrawingGridEvery w:val="2"/>
  <w:characterSpacingControl w:val="doNotCompress"/>
  <w:doNotValidateAgainstSchema/>
  <w:doNotDemarcateInvalidXml/>
  <w:hdrShapeDefaults>
    <o:shapedefaults v:ext="edit" spidmax="8194">
      <o:colormenu v:ext="edit" strokecolor="none"/>
    </o:shapedefaults>
    <o:shapelayout v:ext="edit">
      <o:idmap v:ext="edit" data="2"/>
    </o:shapelayout>
  </w:hdrShapeDefaults>
  <w:footnotePr>
    <w:footnote w:id="-1"/>
    <w:footnote w:id="0"/>
  </w:footnotePr>
  <w:endnotePr>
    <w:endnote w:id="-1"/>
    <w:endnote w:id="0"/>
  </w:endnotePr>
  <w:compat/>
  <w:rsids>
    <w:rsidRoot w:val="009D473F"/>
    <w:rsid w:val="000007C2"/>
    <w:rsid w:val="00013FC6"/>
    <w:rsid w:val="000266A6"/>
    <w:rsid w:val="000307E6"/>
    <w:rsid w:val="00031863"/>
    <w:rsid w:val="000334EA"/>
    <w:rsid w:val="00054607"/>
    <w:rsid w:val="000548A0"/>
    <w:rsid w:val="00055246"/>
    <w:rsid w:val="0006161B"/>
    <w:rsid w:val="00066820"/>
    <w:rsid w:val="00086E37"/>
    <w:rsid w:val="000961EB"/>
    <w:rsid w:val="000B2761"/>
    <w:rsid w:val="000B65FB"/>
    <w:rsid w:val="000B7F1A"/>
    <w:rsid w:val="000C6BD0"/>
    <w:rsid w:val="000D761F"/>
    <w:rsid w:val="000D7CFD"/>
    <w:rsid w:val="000E1CFE"/>
    <w:rsid w:val="000F1F4B"/>
    <w:rsid w:val="001050EE"/>
    <w:rsid w:val="00113DC4"/>
    <w:rsid w:val="00120308"/>
    <w:rsid w:val="00120653"/>
    <w:rsid w:val="0015532A"/>
    <w:rsid w:val="001627C0"/>
    <w:rsid w:val="001650FE"/>
    <w:rsid w:val="00165F5E"/>
    <w:rsid w:val="001750E6"/>
    <w:rsid w:val="00185A9D"/>
    <w:rsid w:val="00192862"/>
    <w:rsid w:val="001A383B"/>
    <w:rsid w:val="001A5AD6"/>
    <w:rsid w:val="001B18A4"/>
    <w:rsid w:val="001B79BD"/>
    <w:rsid w:val="001E7A17"/>
    <w:rsid w:val="001F1316"/>
    <w:rsid w:val="001F797B"/>
    <w:rsid w:val="00205D50"/>
    <w:rsid w:val="00206012"/>
    <w:rsid w:val="00223560"/>
    <w:rsid w:val="002509B2"/>
    <w:rsid w:val="0029084E"/>
    <w:rsid w:val="002941C7"/>
    <w:rsid w:val="002A05B8"/>
    <w:rsid w:val="002B160A"/>
    <w:rsid w:val="002C206D"/>
    <w:rsid w:val="002E7EBE"/>
    <w:rsid w:val="002F0F19"/>
    <w:rsid w:val="003122C5"/>
    <w:rsid w:val="00316E3B"/>
    <w:rsid w:val="00345752"/>
    <w:rsid w:val="00365335"/>
    <w:rsid w:val="003671CA"/>
    <w:rsid w:val="003A51CC"/>
    <w:rsid w:val="003A7886"/>
    <w:rsid w:val="003D0C8B"/>
    <w:rsid w:val="003D253F"/>
    <w:rsid w:val="003E2F4F"/>
    <w:rsid w:val="003F097E"/>
    <w:rsid w:val="003F20B4"/>
    <w:rsid w:val="003F214D"/>
    <w:rsid w:val="003F44E8"/>
    <w:rsid w:val="00433DBC"/>
    <w:rsid w:val="00462A64"/>
    <w:rsid w:val="00464FCA"/>
    <w:rsid w:val="00485A9C"/>
    <w:rsid w:val="004945C0"/>
    <w:rsid w:val="004A760A"/>
    <w:rsid w:val="004C4250"/>
    <w:rsid w:val="004F7152"/>
    <w:rsid w:val="00502A3C"/>
    <w:rsid w:val="00503676"/>
    <w:rsid w:val="0051027C"/>
    <w:rsid w:val="005109D7"/>
    <w:rsid w:val="00516A06"/>
    <w:rsid w:val="00522DCD"/>
    <w:rsid w:val="005606C7"/>
    <w:rsid w:val="0056413F"/>
    <w:rsid w:val="00567309"/>
    <w:rsid w:val="00572875"/>
    <w:rsid w:val="005766F6"/>
    <w:rsid w:val="0058475E"/>
    <w:rsid w:val="005D7767"/>
    <w:rsid w:val="005F0B56"/>
    <w:rsid w:val="005F48C6"/>
    <w:rsid w:val="00600FED"/>
    <w:rsid w:val="00603A4B"/>
    <w:rsid w:val="00616165"/>
    <w:rsid w:val="00620F8F"/>
    <w:rsid w:val="0062257B"/>
    <w:rsid w:val="00632E0C"/>
    <w:rsid w:val="0064405A"/>
    <w:rsid w:val="00651A85"/>
    <w:rsid w:val="00656B24"/>
    <w:rsid w:val="00662DAF"/>
    <w:rsid w:val="00667B70"/>
    <w:rsid w:val="00676C05"/>
    <w:rsid w:val="00683ECE"/>
    <w:rsid w:val="006A7A1E"/>
    <w:rsid w:val="006D3FFE"/>
    <w:rsid w:val="006E07E9"/>
    <w:rsid w:val="00722D57"/>
    <w:rsid w:val="00723193"/>
    <w:rsid w:val="0072530C"/>
    <w:rsid w:val="007335A5"/>
    <w:rsid w:val="00746763"/>
    <w:rsid w:val="00791007"/>
    <w:rsid w:val="00791324"/>
    <w:rsid w:val="00791993"/>
    <w:rsid w:val="007A7214"/>
    <w:rsid w:val="007B23A9"/>
    <w:rsid w:val="007B3B99"/>
    <w:rsid w:val="007E2976"/>
    <w:rsid w:val="007E7A1A"/>
    <w:rsid w:val="007F078D"/>
    <w:rsid w:val="007F5EB7"/>
    <w:rsid w:val="00806FA5"/>
    <w:rsid w:val="00817ABA"/>
    <w:rsid w:val="00821379"/>
    <w:rsid w:val="0082192C"/>
    <w:rsid w:val="00827CA4"/>
    <w:rsid w:val="00831A85"/>
    <w:rsid w:val="0083374C"/>
    <w:rsid w:val="00834094"/>
    <w:rsid w:val="00844773"/>
    <w:rsid w:val="00845A3E"/>
    <w:rsid w:val="008602EC"/>
    <w:rsid w:val="00873BC5"/>
    <w:rsid w:val="00880091"/>
    <w:rsid w:val="00893728"/>
    <w:rsid w:val="008D31BB"/>
    <w:rsid w:val="008D4886"/>
    <w:rsid w:val="008E0FD5"/>
    <w:rsid w:val="008E2093"/>
    <w:rsid w:val="0090113A"/>
    <w:rsid w:val="0090420B"/>
    <w:rsid w:val="00923AC3"/>
    <w:rsid w:val="00944B5A"/>
    <w:rsid w:val="00970852"/>
    <w:rsid w:val="009827F5"/>
    <w:rsid w:val="0099574F"/>
    <w:rsid w:val="00997292"/>
    <w:rsid w:val="009A037D"/>
    <w:rsid w:val="009A14C6"/>
    <w:rsid w:val="009D473F"/>
    <w:rsid w:val="009D636C"/>
    <w:rsid w:val="009F1749"/>
    <w:rsid w:val="009F3C9E"/>
    <w:rsid w:val="00A03421"/>
    <w:rsid w:val="00A075A3"/>
    <w:rsid w:val="00A225FC"/>
    <w:rsid w:val="00A312DF"/>
    <w:rsid w:val="00A742B0"/>
    <w:rsid w:val="00A86950"/>
    <w:rsid w:val="00AA0AE8"/>
    <w:rsid w:val="00AA2B66"/>
    <w:rsid w:val="00AA435C"/>
    <w:rsid w:val="00AA5E00"/>
    <w:rsid w:val="00AC4CC5"/>
    <w:rsid w:val="00AD31C9"/>
    <w:rsid w:val="00AF7875"/>
    <w:rsid w:val="00B071DE"/>
    <w:rsid w:val="00B17C61"/>
    <w:rsid w:val="00B309D7"/>
    <w:rsid w:val="00B32537"/>
    <w:rsid w:val="00B351B4"/>
    <w:rsid w:val="00B42FC8"/>
    <w:rsid w:val="00B61D6C"/>
    <w:rsid w:val="00B62368"/>
    <w:rsid w:val="00B91B55"/>
    <w:rsid w:val="00BB5EFC"/>
    <w:rsid w:val="00BC1D21"/>
    <w:rsid w:val="00BC49B6"/>
    <w:rsid w:val="00BC673A"/>
    <w:rsid w:val="00BD2AFF"/>
    <w:rsid w:val="00C35F5D"/>
    <w:rsid w:val="00C3737C"/>
    <w:rsid w:val="00C37864"/>
    <w:rsid w:val="00C5631F"/>
    <w:rsid w:val="00C6549B"/>
    <w:rsid w:val="00C74AF4"/>
    <w:rsid w:val="00C866FC"/>
    <w:rsid w:val="00C876E7"/>
    <w:rsid w:val="00CB5A25"/>
    <w:rsid w:val="00CD69DF"/>
    <w:rsid w:val="00CD79A2"/>
    <w:rsid w:val="00CE11D9"/>
    <w:rsid w:val="00CF3020"/>
    <w:rsid w:val="00D01225"/>
    <w:rsid w:val="00D06B8C"/>
    <w:rsid w:val="00D07ABC"/>
    <w:rsid w:val="00D657EB"/>
    <w:rsid w:val="00D6791C"/>
    <w:rsid w:val="00D73128"/>
    <w:rsid w:val="00D8233B"/>
    <w:rsid w:val="00D8695C"/>
    <w:rsid w:val="00DB457C"/>
    <w:rsid w:val="00DB5E11"/>
    <w:rsid w:val="00DB70B3"/>
    <w:rsid w:val="00DC241C"/>
    <w:rsid w:val="00DC45B5"/>
    <w:rsid w:val="00DD4EEF"/>
    <w:rsid w:val="00E14BDA"/>
    <w:rsid w:val="00E22204"/>
    <w:rsid w:val="00E32D23"/>
    <w:rsid w:val="00E37291"/>
    <w:rsid w:val="00E40C33"/>
    <w:rsid w:val="00E4327C"/>
    <w:rsid w:val="00E45C2B"/>
    <w:rsid w:val="00E5073D"/>
    <w:rsid w:val="00E62658"/>
    <w:rsid w:val="00E70D2E"/>
    <w:rsid w:val="00EA664E"/>
    <w:rsid w:val="00EC3C4C"/>
    <w:rsid w:val="00ED1E7A"/>
    <w:rsid w:val="00ED6EBC"/>
    <w:rsid w:val="00EE01DE"/>
    <w:rsid w:val="00EE0AB1"/>
    <w:rsid w:val="00EE4FEC"/>
    <w:rsid w:val="00EF1A1A"/>
    <w:rsid w:val="00F5701C"/>
    <w:rsid w:val="00F60024"/>
    <w:rsid w:val="00F85FC0"/>
    <w:rsid w:val="00F906AA"/>
    <w:rsid w:val="00F92737"/>
    <w:rsid w:val="00FA2028"/>
    <w:rsid w:val="00FB76C8"/>
    <w:rsid w:val="00FD3F55"/>
    <w:rsid w:val="00FF216B"/>
    <w:rsid w:val="00FF4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66"/>
    <w:rPr>
      <w:rFonts w:ascii="Tahoma" w:hAnsi="Tahoma" w:cs="Tahoma"/>
      <w:sz w:val="16"/>
      <w:szCs w:val="16"/>
    </w:rPr>
  </w:style>
  <w:style w:type="paragraph" w:styleId="Heading1">
    <w:name w:val="heading 1"/>
    <w:basedOn w:val="Normal"/>
    <w:next w:val="Normal"/>
    <w:link w:val="Heading1Char"/>
    <w:uiPriority w:val="99"/>
    <w:qFormat/>
    <w:rsid w:val="00667B70"/>
    <w:pPr>
      <w:keepNext/>
      <w:spacing w:before="240"/>
      <w:ind w:left="270"/>
      <w:outlineLvl w:val="0"/>
    </w:pPr>
    <w:rPr>
      <w:kern w:val="32"/>
      <w:sz w:val="60"/>
      <w:szCs w:val="60"/>
    </w:rPr>
  </w:style>
  <w:style w:type="paragraph" w:styleId="Heading2">
    <w:name w:val="heading 2"/>
    <w:basedOn w:val="Normal"/>
    <w:next w:val="Normal"/>
    <w:link w:val="Heading2Char"/>
    <w:uiPriority w:val="99"/>
    <w:qFormat/>
    <w:rsid w:val="003E2F4F"/>
    <w:pPr>
      <w:keepNext/>
      <w:spacing w:before="240" w:after="60"/>
      <w:ind w:left="180"/>
      <w:outlineLvl w:val="1"/>
    </w:pPr>
    <w:rPr>
      <w:color w:val="008080"/>
      <w:sz w:val="40"/>
      <w:szCs w:val="40"/>
    </w:rPr>
  </w:style>
  <w:style w:type="paragraph" w:styleId="Heading3">
    <w:name w:val="heading 3"/>
    <w:basedOn w:val="Heading2"/>
    <w:next w:val="Normal"/>
    <w:link w:val="Heading3Char"/>
    <w:uiPriority w:val="99"/>
    <w:qFormat/>
    <w:rsid w:val="00AC4CC5"/>
    <w:pPr>
      <w:ind w:left="45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6C05"/>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676C05"/>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76C05"/>
    <w:rPr>
      <w:rFonts w:ascii="Cambria" w:hAnsi="Cambria" w:cs="Cambria"/>
      <w:b/>
      <w:bCs/>
      <w:sz w:val="26"/>
      <w:szCs w:val="26"/>
    </w:rPr>
  </w:style>
  <w:style w:type="paragraph" w:customStyle="1" w:styleId="NewsletterBodyText">
    <w:name w:val="Newsletter Body Text"/>
    <w:basedOn w:val="Normal"/>
    <w:uiPriority w:val="99"/>
    <w:rsid w:val="00AA2B66"/>
    <w:pPr>
      <w:spacing w:after="200" w:line="312" w:lineRule="auto"/>
    </w:pPr>
    <w:rPr>
      <w:spacing w:val="4"/>
    </w:rPr>
  </w:style>
  <w:style w:type="paragraph" w:customStyle="1" w:styleId="LeftColumnText">
    <w:name w:val="Left Column Text"/>
    <w:basedOn w:val="Normal"/>
    <w:uiPriority w:val="99"/>
    <w:rsid w:val="00AA2B66"/>
    <w:pPr>
      <w:framePr w:hSpace="187" w:wrap="auto" w:vAnchor="text" w:hAnchor="text" w:xAlign="center" w:y="1"/>
      <w:spacing w:after="160" w:line="312" w:lineRule="auto"/>
    </w:pPr>
    <w:rPr>
      <w:spacing w:val="4"/>
    </w:rPr>
  </w:style>
  <w:style w:type="paragraph" w:customStyle="1" w:styleId="LCTBold">
    <w:name w:val="LCT Bold"/>
    <w:basedOn w:val="LeftColumnText"/>
    <w:uiPriority w:val="99"/>
    <w:rsid w:val="00667B70"/>
    <w:pPr>
      <w:framePr w:wrap="auto"/>
    </w:pPr>
    <w:rPr>
      <w:b/>
      <w:bCs/>
    </w:rPr>
  </w:style>
  <w:style w:type="paragraph" w:customStyle="1" w:styleId="BoldText">
    <w:name w:val="Bold Text"/>
    <w:basedOn w:val="Normal"/>
    <w:link w:val="BoldTextChar"/>
    <w:uiPriority w:val="99"/>
    <w:rsid w:val="00667B70"/>
    <w:rPr>
      <w:b/>
      <w:bCs/>
    </w:rPr>
  </w:style>
  <w:style w:type="character" w:customStyle="1" w:styleId="BoldTextChar">
    <w:name w:val="Bold Text Char"/>
    <w:basedOn w:val="DefaultParagraphFont"/>
    <w:link w:val="BoldText"/>
    <w:uiPriority w:val="99"/>
    <w:rsid w:val="00667B70"/>
    <w:rPr>
      <w:rFonts w:ascii="Century Gothic" w:hAnsi="Century Gothic" w:cs="Century Gothic"/>
      <w:b/>
      <w:bCs/>
      <w:sz w:val="16"/>
      <w:szCs w:val="16"/>
      <w:lang w:val="en-US" w:eastAsia="en-US"/>
    </w:rPr>
  </w:style>
  <w:style w:type="paragraph" w:customStyle="1" w:styleId="CompanyName">
    <w:name w:val="Company Name"/>
    <w:basedOn w:val="Normal"/>
    <w:link w:val="CompanyNameCharChar"/>
    <w:uiPriority w:val="99"/>
    <w:rsid w:val="004F7152"/>
    <w:rPr>
      <w:b/>
      <w:bCs/>
      <w:spacing w:val="4"/>
    </w:rPr>
  </w:style>
  <w:style w:type="character" w:customStyle="1" w:styleId="CompanyNameCharChar">
    <w:name w:val="Company Name Char Char"/>
    <w:basedOn w:val="DefaultParagraphFont"/>
    <w:link w:val="CompanyName"/>
    <w:uiPriority w:val="99"/>
    <w:rsid w:val="004F7152"/>
    <w:rPr>
      <w:rFonts w:ascii="Tahoma" w:hAnsi="Tahoma" w:cs="Tahoma"/>
      <w:b/>
      <w:bCs/>
      <w:spacing w:val="4"/>
      <w:sz w:val="16"/>
      <w:szCs w:val="16"/>
      <w:lang w:val="en-US" w:eastAsia="en-US"/>
    </w:rPr>
  </w:style>
  <w:style w:type="paragraph" w:customStyle="1" w:styleId="ColumnCaption">
    <w:name w:val="Column Caption"/>
    <w:basedOn w:val="LeftColumnText"/>
    <w:uiPriority w:val="99"/>
    <w:rsid w:val="00C3737C"/>
    <w:pPr>
      <w:framePr w:wrap="auto"/>
      <w:spacing w:line="552" w:lineRule="auto"/>
    </w:pPr>
    <w:rPr>
      <w:i/>
      <w:iCs/>
    </w:rPr>
  </w:style>
  <w:style w:type="paragraph" w:styleId="Footer">
    <w:name w:val="footer"/>
    <w:basedOn w:val="Normal"/>
    <w:link w:val="FooterChar"/>
    <w:uiPriority w:val="99"/>
    <w:rsid w:val="00C35F5D"/>
    <w:pPr>
      <w:tabs>
        <w:tab w:val="center" w:pos="4320"/>
        <w:tab w:val="right" w:pos="8640"/>
      </w:tabs>
    </w:pPr>
  </w:style>
  <w:style w:type="character" w:customStyle="1" w:styleId="FooterChar">
    <w:name w:val="Footer Char"/>
    <w:basedOn w:val="DefaultParagraphFont"/>
    <w:link w:val="Footer"/>
    <w:uiPriority w:val="99"/>
    <w:rsid w:val="00BC673A"/>
    <w:rPr>
      <w:rFonts w:ascii="Tahoma" w:hAnsi="Tahoma" w:cs="Tahoma"/>
      <w:sz w:val="24"/>
      <w:szCs w:val="24"/>
    </w:rPr>
  </w:style>
  <w:style w:type="paragraph" w:styleId="BalloonText">
    <w:name w:val="Balloon Text"/>
    <w:basedOn w:val="Normal"/>
    <w:link w:val="BalloonTextChar"/>
    <w:uiPriority w:val="99"/>
    <w:semiHidden/>
    <w:rsid w:val="000B2761"/>
  </w:style>
  <w:style w:type="character" w:customStyle="1" w:styleId="BalloonTextChar">
    <w:name w:val="Balloon Text Char"/>
    <w:basedOn w:val="DefaultParagraphFont"/>
    <w:link w:val="BalloonText"/>
    <w:uiPriority w:val="99"/>
    <w:semiHidden/>
    <w:rsid w:val="00676C05"/>
    <w:rPr>
      <w:sz w:val="2"/>
      <w:szCs w:val="2"/>
    </w:rPr>
  </w:style>
  <w:style w:type="paragraph" w:customStyle="1" w:styleId="MailingAddress">
    <w:name w:val="Mailing Address"/>
    <w:basedOn w:val="Normal"/>
    <w:uiPriority w:val="99"/>
    <w:rsid w:val="00D06B8C"/>
    <w:rPr>
      <w:caps/>
      <w:sz w:val="20"/>
      <w:szCs w:val="20"/>
    </w:rPr>
  </w:style>
  <w:style w:type="paragraph" w:customStyle="1" w:styleId="Italics">
    <w:name w:val="Italics"/>
    <w:basedOn w:val="Normal"/>
    <w:link w:val="ItalicsChar"/>
    <w:uiPriority w:val="99"/>
    <w:rsid w:val="003E2F4F"/>
    <w:rPr>
      <w:i/>
      <w:iCs/>
      <w:spacing w:val="4"/>
    </w:rPr>
  </w:style>
  <w:style w:type="character" w:customStyle="1" w:styleId="ItalicsChar">
    <w:name w:val="Italics Char"/>
    <w:basedOn w:val="DefaultParagraphFont"/>
    <w:link w:val="Italics"/>
    <w:uiPriority w:val="99"/>
    <w:rsid w:val="00746763"/>
    <w:rPr>
      <w:rFonts w:ascii="Tahoma" w:hAnsi="Tahoma" w:cs="Tahoma"/>
      <w:i/>
      <w:iCs/>
      <w:spacing w:val="4"/>
      <w:sz w:val="16"/>
      <w:szCs w:val="16"/>
      <w:lang w:val="en-US" w:eastAsia="en-US"/>
    </w:rPr>
  </w:style>
  <w:style w:type="paragraph" w:customStyle="1" w:styleId="ParagraphRuleAbove">
    <w:name w:val="Paragraph Rule Above"/>
    <w:basedOn w:val="Normal"/>
    <w:uiPriority w:val="99"/>
    <w:rsid w:val="00D06B8C"/>
    <w:pPr>
      <w:pBdr>
        <w:bottom w:val="single" w:sz="2" w:space="1" w:color="auto"/>
      </w:pBdr>
      <w:spacing w:after="120"/>
    </w:pPr>
  </w:style>
  <w:style w:type="paragraph" w:customStyle="1" w:styleId="ParagraphRuleBelow">
    <w:name w:val="Paragraph Rule Below"/>
    <w:basedOn w:val="Normal"/>
    <w:uiPriority w:val="99"/>
    <w:rsid w:val="00D06B8C"/>
    <w:pPr>
      <w:pBdr>
        <w:top w:val="single" w:sz="2" w:space="1" w:color="auto"/>
      </w:pBdr>
      <w:spacing w:before="120"/>
    </w:pPr>
  </w:style>
  <w:style w:type="paragraph" w:customStyle="1" w:styleId="MailingAddressBold">
    <w:name w:val="Mailing Address Bold"/>
    <w:basedOn w:val="MailingAddress"/>
    <w:uiPriority w:val="99"/>
    <w:rsid w:val="00D06B8C"/>
    <w:rPr>
      <w:b/>
      <w:bCs/>
    </w:rPr>
  </w:style>
  <w:style w:type="paragraph" w:customStyle="1" w:styleId="ReturnMailingAddress">
    <w:name w:val="Return Mailing Address"/>
    <w:basedOn w:val="MailingAddress"/>
    <w:uiPriority w:val="99"/>
    <w:rsid w:val="007B3B99"/>
    <w:rPr>
      <w:sz w:val="16"/>
      <w:szCs w:val="16"/>
    </w:rPr>
  </w:style>
  <w:style w:type="paragraph" w:customStyle="1" w:styleId="ReturnMailingAddressBold">
    <w:name w:val="Return Mailing Address Bold"/>
    <w:basedOn w:val="ReturnMailingAddress"/>
    <w:uiPriority w:val="99"/>
    <w:rsid w:val="007B3B99"/>
    <w:rPr>
      <w:b/>
      <w:bCs/>
    </w:rPr>
  </w:style>
  <w:style w:type="paragraph" w:customStyle="1" w:styleId="AllCaps">
    <w:name w:val="All Caps"/>
    <w:basedOn w:val="Normal"/>
    <w:link w:val="AllCapsChar"/>
    <w:uiPriority w:val="99"/>
    <w:rsid w:val="008D4886"/>
    <w:pPr>
      <w:tabs>
        <w:tab w:val="left" w:pos="360"/>
      </w:tabs>
    </w:pPr>
    <w:rPr>
      <w:b/>
      <w:bCs/>
      <w:caps/>
      <w:color w:val="008080"/>
    </w:rPr>
  </w:style>
  <w:style w:type="character" w:customStyle="1" w:styleId="AllCapsChar">
    <w:name w:val="All Caps Char"/>
    <w:basedOn w:val="DefaultParagraphFont"/>
    <w:link w:val="AllCaps"/>
    <w:uiPriority w:val="99"/>
    <w:rsid w:val="008D4886"/>
    <w:rPr>
      <w:rFonts w:ascii="Tahoma" w:hAnsi="Tahoma" w:cs="Tahoma"/>
      <w:b/>
      <w:bCs/>
      <w:caps/>
      <w:color w:val="008080"/>
      <w:sz w:val="16"/>
      <w:szCs w:val="16"/>
      <w:lang w:val="en-US" w:eastAsia="en-US"/>
    </w:rPr>
  </w:style>
  <w:style w:type="paragraph" w:customStyle="1" w:styleId="VolumeDate">
    <w:name w:val="Volume/Date"/>
    <w:basedOn w:val="CompanyName"/>
    <w:link w:val="VolumeDateChar"/>
    <w:uiPriority w:val="99"/>
    <w:rsid w:val="004F7152"/>
    <w:pPr>
      <w:jc w:val="right"/>
    </w:pPr>
    <w:rPr>
      <w:b w:val="0"/>
      <w:bCs w:val="0"/>
    </w:rPr>
  </w:style>
  <w:style w:type="character" w:customStyle="1" w:styleId="VolumeDateChar">
    <w:name w:val="Volume/Date Char"/>
    <w:basedOn w:val="CompanyNameCharChar"/>
    <w:link w:val="VolumeDate"/>
    <w:uiPriority w:val="99"/>
    <w:rsid w:val="004F7152"/>
  </w:style>
  <w:style w:type="paragraph" w:customStyle="1" w:styleId="VolumeDateBold">
    <w:name w:val="Volume/Date Bold"/>
    <w:basedOn w:val="VolumeDate"/>
    <w:link w:val="VolumeDateBoldChar"/>
    <w:uiPriority w:val="99"/>
    <w:rsid w:val="004F7152"/>
    <w:rPr>
      <w:b/>
      <w:bCs/>
    </w:rPr>
  </w:style>
  <w:style w:type="character" w:customStyle="1" w:styleId="VolumeDateBoldChar">
    <w:name w:val="Volume/Date Bold Char"/>
    <w:basedOn w:val="VolumeDateChar"/>
    <w:link w:val="VolumeDateBold"/>
    <w:uiPriority w:val="99"/>
    <w:rsid w:val="004F7152"/>
  </w:style>
  <w:style w:type="paragraph" w:customStyle="1" w:styleId="CompanyPhoneNumber">
    <w:name w:val="Company Phone Number"/>
    <w:basedOn w:val="CompanyName"/>
    <w:uiPriority w:val="99"/>
    <w:rsid w:val="004F7152"/>
    <w:rPr>
      <w:b w:val="0"/>
      <w:bCs w:val="0"/>
    </w:rPr>
  </w:style>
  <w:style w:type="paragraph" w:customStyle="1" w:styleId="Tagline">
    <w:name w:val="Tagline"/>
    <w:basedOn w:val="Italics"/>
    <w:link w:val="TaglineChar"/>
    <w:uiPriority w:val="99"/>
    <w:rsid w:val="00746763"/>
    <w:pPr>
      <w:spacing w:before="480"/>
    </w:pPr>
  </w:style>
  <w:style w:type="character" w:customStyle="1" w:styleId="TaglineChar">
    <w:name w:val="Tagline Char"/>
    <w:basedOn w:val="ItalicsChar"/>
    <w:link w:val="Tagline"/>
    <w:uiPriority w:val="99"/>
    <w:rsid w:val="00746763"/>
  </w:style>
  <w:style w:type="paragraph" w:styleId="BodyText">
    <w:name w:val="Body Text"/>
    <w:basedOn w:val="Normal"/>
    <w:link w:val="BodyTextChar"/>
    <w:uiPriority w:val="99"/>
    <w:rsid w:val="004A760A"/>
    <w:pPr>
      <w:jc w:val="both"/>
    </w:pPr>
    <w:rPr>
      <w:sz w:val="24"/>
      <w:szCs w:val="24"/>
    </w:rPr>
  </w:style>
  <w:style w:type="character" w:customStyle="1" w:styleId="BodyTextChar">
    <w:name w:val="Body Text Char"/>
    <w:basedOn w:val="DefaultParagraphFont"/>
    <w:link w:val="BodyText"/>
    <w:uiPriority w:val="99"/>
    <w:rsid w:val="004A760A"/>
    <w:rPr>
      <w:sz w:val="24"/>
      <w:szCs w:val="24"/>
    </w:rPr>
  </w:style>
  <w:style w:type="paragraph" w:styleId="NormalWeb">
    <w:name w:val="Normal (Web)"/>
    <w:basedOn w:val="Normal"/>
    <w:uiPriority w:val="99"/>
    <w:rsid w:val="00651A85"/>
    <w:pPr>
      <w:spacing w:before="100" w:beforeAutospacing="1" w:after="240"/>
    </w:pPr>
    <w:rPr>
      <w:sz w:val="24"/>
      <w:szCs w:val="24"/>
    </w:rPr>
  </w:style>
  <w:style w:type="paragraph" w:styleId="ListParagraph">
    <w:name w:val="List Paragraph"/>
    <w:basedOn w:val="Normal"/>
    <w:uiPriority w:val="34"/>
    <w:qFormat/>
    <w:rsid w:val="006D3FFE"/>
    <w:pPr>
      <w:ind w:left="720"/>
    </w:pPr>
  </w:style>
</w:styles>
</file>

<file path=word/webSettings.xml><?xml version="1.0" encoding="utf-8"?>
<w:webSettings xmlns:r="http://schemas.openxmlformats.org/officeDocument/2006/relationships" xmlns:w="http://schemas.openxmlformats.org/wordprocessingml/2006/main">
  <w:divs>
    <w:div w:id="5207805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6595770">
          <w:marLeft w:val="0"/>
          <w:marRight w:val="0"/>
          <w:marTop w:val="0"/>
          <w:marBottom w:val="0"/>
          <w:divBdr>
            <w:top w:val="none" w:sz="0" w:space="0" w:color="auto"/>
            <w:left w:val="none" w:sz="0" w:space="0" w:color="auto"/>
            <w:bottom w:val="none" w:sz="0" w:space="0" w:color="auto"/>
            <w:right w:val="none" w:sz="0" w:space="0" w:color="auto"/>
          </w:divBdr>
        </w:div>
      </w:divsChild>
    </w:div>
    <w:div w:id="871116804">
      <w:marLeft w:val="0"/>
      <w:marRight w:val="0"/>
      <w:marTop w:val="0"/>
      <w:marBottom w:val="0"/>
      <w:divBdr>
        <w:top w:val="none" w:sz="0" w:space="0" w:color="auto"/>
        <w:left w:val="none" w:sz="0" w:space="0" w:color="auto"/>
        <w:bottom w:val="none" w:sz="0" w:space="0" w:color="auto"/>
        <w:right w:val="none" w:sz="0" w:space="0" w:color="auto"/>
      </w:divBdr>
      <w:divsChild>
        <w:div w:id="871116802">
          <w:marLeft w:val="0"/>
          <w:marRight w:val="0"/>
          <w:marTop w:val="0"/>
          <w:marBottom w:val="0"/>
          <w:divBdr>
            <w:top w:val="none" w:sz="0" w:space="0" w:color="auto"/>
            <w:left w:val="single" w:sz="6" w:space="0" w:color="424973"/>
            <w:bottom w:val="none" w:sz="0" w:space="0" w:color="auto"/>
            <w:right w:val="single" w:sz="6" w:space="0" w:color="424973"/>
          </w:divBdr>
          <w:divsChild>
            <w:div w:id="871116809">
              <w:marLeft w:val="0"/>
              <w:marRight w:val="0"/>
              <w:marTop w:val="0"/>
              <w:marBottom w:val="0"/>
              <w:divBdr>
                <w:top w:val="none" w:sz="0" w:space="0" w:color="auto"/>
                <w:left w:val="single" w:sz="6" w:space="4" w:color="CCCCCC"/>
                <w:bottom w:val="none" w:sz="0" w:space="0" w:color="auto"/>
                <w:right w:val="none" w:sz="0" w:space="0" w:color="auto"/>
              </w:divBdr>
            </w:div>
          </w:divsChild>
        </w:div>
      </w:divsChild>
    </w:div>
    <w:div w:id="871116806">
      <w:marLeft w:val="0"/>
      <w:marRight w:val="0"/>
      <w:marTop w:val="0"/>
      <w:marBottom w:val="0"/>
      <w:divBdr>
        <w:top w:val="none" w:sz="0" w:space="0" w:color="auto"/>
        <w:left w:val="none" w:sz="0" w:space="0" w:color="auto"/>
        <w:bottom w:val="none" w:sz="0" w:space="0" w:color="auto"/>
        <w:right w:val="none" w:sz="0" w:space="0" w:color="auto"/>
      </w:divBdr>
      <w:divsChild>
        <w:div w:id="871116803">
          <w:marLeft w:val="0"/>
          <w:marRight w:val="0"/>
          <w:marTop w:val="0"/>
          <w:marBottom w:val="0"/>
          <w:divBdr>
            <w:top w:val="none" w:sz="0" w:space="0" w:color="auto"/>
            <w:left w:val="single" w:sz="6" w:space="0" w:color="424973"/>
            <w:bottom w:val="none" w:sz="0" w:space="0" w:color="auto"/>
            <w:right w:val="single" w:sz="6" w:space="0" w:color="424973"/>
          </w:divBdr>
          <w:divsChild>
            <w:div w:id="871116807">
              <w:marLeft w:val="0"/>
              <w:marRight w:val="0"/>
              <w:marTop w:val="0"/>
              <w:marBottom w:val="0"/>
              <w:divBdr>
                <w:top w:val="none" w:sz="0" w:space="0" w:color="auto"/>
                <w:left w:val="single" w:sz="6" w:space="4" w:color="CCCCCC"/>
                <w:bottom w:val="none" w:sz="0" w:space="0" w:color="auto"/>
                <w:right w:val="none" w:sz="0" w:space="0" w:color="auto"/>
              </w:divBdr>
            </w:div>
          </w:divsChild>
        </w:div>
      </w:divsChild>
    </w:div>
    <w:div w:id="871116808">
      <w:marLeft w:val="0"/>
      <w:marRight w:val="0"/>
      <w:marTop w:val="0"/>
      <w:marBottom w:val="0"/>
      <w:divBdr>
        <w:top w:val="none" w:sz="0" w:space="0" w:color="auto"/>
        <w:left w:val="none" w:sz="0" w:space="0" w:color="auto"/>
        <w:bottom w:val="none" w:sz="0" w:space="0" w:color="auto"/>
        <w:right w:val="none" w:sz="0" w:space="0" w:color="auto"/>
      </w:divBdr>
      <w:divsChild>
        <w:div w:id="871116810">
          <w:marLeft w:val="0"/>
          <w:marRight w:val="0"/>
          <w:marTop w:val="0"/>
          <w:marBottom w:val="0"/>
          <w:divBdr>
            <w:top w:val="none" w:sz="0" w:space="0" w:color="auto"/>
            <w:left w:val="single" w:sz="6" w:space="0" w:color="424973"/>
            <w:bottom w:val="none" w:sz="0" w:space="0" w:color="auto"/>
            <w:right w:val="single" w:sz="6" w:space="0" w:color="424973"/>
          </w:divBdr>
          <w:divsChild>
            <w:div w:id="871116805">
              <w:marLeft w:val="0"/>
              <w:marRight w:val="0"/>
              <w:marTop w:val="0"/>
              <w:marBottom w:val="0"/>
              <w:divBdr>
                <w:top w:val="none" w:sz="0" w:space="0" w:color="auto"/>
                <w:left w:val="single" w:sz="6" w:space="4" w:color="CCCCCC"/>
                <w:bottom w:val="none" w:sz="0" w:space="0" w:color="auto"/>
                <w:right w:val="none" w:sz="0" w:space="0" w:color="auto"/>
              </w:divBdr>
            </w:div>
          </w:divsChild>
        </w:div>
      </w:divsChild>
    </w:div>
    <w:div w:id="1514999785">
      <w:bodyDiv w:val="1"/>
      <w:marLeft w:val="106"/>
      <w:marRight w:val="106"/>
      <w:marTop w:val="106"/>
      <w:marBottom w:val="106"/>
      <w:divBdr>
        <w:top w:val="none" w:sz="0" w:space="0" w:color="auto"/>
        <w:left w:val="none" w:sz="0" w:space="0" w:color="auto"/>
        <w:bottom w:val="none" w:sz="0" w:space="0" w:color="auto"/>
        <w:right w:val="none" w:sz="0" w:space="0" w:color="auto"/>
      </w:divBdr>
      <w:divsChild>
        <w:div w:id="1437869878">
          <w:marLeft w:val="0"/>
          <w:marRight w:val="0"/>
          <w:marTop w:val="0"/>
          <w:marBottom w:val="0"/>
          <w:divBdr>
            <w:top w:val="none" w:sz="0" w:space="0" w:color="auto"/>
            <w:left w:val="none" w:sz="0" w:space="0" w:color="auto"/>
            <w:bottom w:val="none" w:sz="0" w:space="0" w:color="auto"/>
            <w:right w:val="none" w:sz="0" w:space="0" w:color="auto"/>
          </w:divBdr>
        </w:div>
      </w:divsChild>
    </w:div>
    <w:div w:id="1649704531">
      <w:bodyDiv w:val="1"/>
      <w:marLeft w:val="106"/>
      <w:marRight w:val="106"/>
      <w:marTop w:val="106"/>
      <w:marBottom w:val="106"/>
      <w:divBdr>
        <w:top w:val="none" w:sz="0" w:space="0" w:color="auto"/>
        <w:left w:val="none" w:sz="0" w:space="0" w:color="auto"/>
        <w:bottom w:val="none" w:sz="0" w:space="0" w:color="auto"/>
        <w:right w:val="none" w:sz="0" w:space="0" w:color="auto"/>
      </w:divBdr>
      <w:divsChild>
        <w:div w:id="142040363">
          <w:marLeft w:val="0"/>
          <w:marRight w:val="0"/>
          <w:marTop w:val="0"/>
          <w:marBottom w:val="0"/>
          <w:divBdr>
            <w:top w:val="none" w:sz="0" w:space="0" w:color="auto"/>
            <w:left w:val="none" w:sz="0" w:space="0" w:color="auto"/>
            <w:bottom w:val="none" w:sz="0" w:space="0" w:color="auto"/>
            <w:right w:val="none" w:sz="0" w:space="0" w:color="auto"/>
          </w:divBdr>
        </w:div>
      </w:divsChild>
    </w:div>
    <w:div w:id="2031684966">
      <w:bodyDiv w:val="1"/>
      <w:marLeft w:val="106"/>
      <w:marRight w:val="106"/>
      <w:marTop w:val="106"/>
      <w:marBottom w:val="106"/>
      <w:divBdr>
        <w:top w:val="none" w:sz="0" w:space="0" w:color="auto"/>
        <w:left w:val="none" w:sz="0" w:space="0" w:color="auto"/>
        <w:bottom w:val="none" w:sz="0" w:space="0" w:color="auto"/>
        <w:right w:val="none" w:sz="0" w:space="0" w:color="auto"/>
      </w:divBdr>
      <w:divsChild>
        <w:div w:id="197212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52299-432B-44F2-B842-121E5C51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vt:lpstr>
    </vt:vector>
  </TitlesOfParts>
  <Company>Microsoft Corporation</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Owner</dc:creator>
  <cp:keywords/>
  <dc:description/>
  <cp:lastModifiedBy> Teri</cp:lastModifiedBy>
  <cp:revision>2</cp:revision>
  <cp:lastPrinted>2011-01-31T14:34:00Z</cp:lastPrinted>
  <dcterms:created xsi:type="dcterms:W3CDTF">2011-02-02T18:11:00Z</dcterms:created>
  <dcterms:modified xsi:type="dcterms:W3CDTF">2011-02-02T18:11:00Z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TC010178191033</vt:lpwstr>
  </property>
</Properties>
</file>